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64" w:rsidRPr="00CE4F5A" w:rsidRDefault="00E72564" w:rsidP="00CE4F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color w:val="000000"/>
        </w:rPr>
      </w:pPr>
      <w:bookmarkStart w:id="0" w:name="_GoBack"/>
      <w:bookmarkEnd w:id="0"/>
    </w:p>
    <w:p w:rsidR="00E72564" w:rsidRPr="00CE4F5A" w:rsidRDefault="00606405" w:rsidP="00CE4F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ind w:left="12"/>
        <w:jc w:val="both"/>
        <w:rPr>
          <w:rFonts w:asciiTheme="majorHAnsi" w:hAnsiTheme="majorHAnsi" w:cstheme="majorHAnsi"/>
          <w:b/>
          <w:color w:val="000000"/>
        </w:rPr>
      </w:pPr>
      <w:r w:rsidRPr="00CE4F5A">
        <w:rPr>
          <w:rFonts w:asciiTheme="majorHAnsi" w:hAnsiTheme="majorHAnsi" w:cstheme="majorHAnsi"/>
          <w:b/>
          <w:color w:val="000000"/>
        </w:rPr>
        <w:t xml:space="preserve">Main Purpose: </w:t>
      </w:r>
    </w:p>
    <w:p w:rsidR="00031269" w:rsidRPr="00CE4F5A" w:rsidRDefault="00400CE9" w:rsidP="00CE4F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jc w:val="both"/>
        <w:rPr>
          <w:rFonts w:asciiTheme="majorHAnsi" w:hAnsiTheme="majorHAnsi" w:cstheme="majorHAnsi"/>
          <w:color w:val="000000"/>
        </w:rPr>
      </w:pPr>
      <w:r w:rsidRPr="00CE4F5A">
        <w:rPr>
          <w:rFonts w:asciiTheme="majorHAnsi" w:hAnsiTheme="majorHAnsi" w:cstheme="majorHAnsi"/>
          <w:color w:val="000000"/>
        </w:rPr>
        <w:t>The SENCO Assistant</w:t>
      </w:r>
      <w:r w:rsidR="00606405" w:rsidRPr="00CE4F5A">
        <w:rPr>
          <w:rFonts w:asciiTheme="majorHAnsi" w:hAnsiTheme="majorHAnsi" w:cstheme="majorHAnsi"/>
          <w:color w:val="000000"/>
        </w:rPr>
        <w:t xml:space="preserve">, under the direction of the </w:t>
      </w:r>
      <w:r w:rsidR="00031269" w:rsidRPr="00CE4F5A">
        <w:rPr>
          <w:rFonts w:asciiTheme="majorHAnsi" w:hAnsiTheme="majorHAnsi" w:cstheme="majorHAnsi"/>
          <w:b/>
          <w:color w:val="000000"/>
        </w:rPr>
        <w:t>Assistant Head</w:t>
      </w:r>
      <w:r w:rsidRPr="00CE4F5A">
        <w:rPr>
          <w:rFonts w:asciiTheme="majorHAnsi" w:hAnsiTheme="majorHAnsi" w:cstheme="majorHAnsi"/>
          <w:b/>
          <w:color w:val="000000"/>
        </w:rPr>
        <w:t xml:space="preserve"> for SEND</w:t>
      </w:r>
      <w:r w:rsidR="00606405" w:rsidRPr="00CE4F5A">
        <w:rPr>
          <w:rFonts w:asciiTheme="majorHAnsi" w:hAnsiTheme="majorHAnsi" w:cstheme="majorHAnsi"/>
          <w:color w:val="000000"/>
        </w:rPr>
        <w:t xml:space="preserve">, will: </w:t>
      </w:r>
    </w:p>
    <w:p w:rsidR="00EA6B0B" w:rsidRPr="007B524C" w:rsidRDefault="00EA6B0B" w:rsidP="00CE4F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7B524C">
        <w:rPr>
          <w:rFonts w:asciiTheme="majorHAnsi" w:hAnsiTheme="majorHAnsi" w:cstheme="majorHAnsi"/>
          <w:b/>
          <w:color w:val="000000"/>
        </w:rPr>
        <w:t xml:space="preserve">General: </w:t>
      </w:r>
    </w:p>
    <w:p w:rsidR="00400CE9" w:rsidRPr="00CE4F5A" w:rsidRDefault="00400CE9" w:rsidP="00CE4F5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 w:rsidRPr="00CE4F5A">
        <w:rPr>
          <w:rFonts w:asciiTheme="majorHAnsi" w:hAnsiTheme="majorHAnsi" w:cstheme="majorHAnsi"/>
          <w:color w:val="222222"/>
        </w:rPr>
        <w:t>Ensure that NWHS is compliant with the SEND Code of Practice (2014), SEND Policy and other relevant statutory requirements</w:t>
      </w:r>
    </w:p>
    <w:p w:rsidR="00400CE9" w:rsidRPr="00CE4F5A" w:rsidRDefault="00400CE9" w:rsidP="00CE4F5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 w:rsidRPr="00CE4F5A">
        <w:rPr>
          <w:rFonts w:asciiTheme="majorHAnsi" w:hAnsiTheme="majorHAnsi" w:cstheme="majorHAnsi"/>
          <w:color w:val="222222"/>
        </w:rPr>
        <w:t>Maintain the school's SEND Profile, ensuring that it is always up-to-date and is an accurate picture of student SEND need across Nunnery Wood. </w:t>
      </w:r>
    </w:p>
    <w:p w:rsidR="00400CE9" w:rsidRPr="00CE4F5A" w:rsidRDefault="00400CE9" w:rsidP="00CE4F5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 w:rsidRPr="00CE4F5A">
        <w:rPr>
          <w:rFonts w:asciiTheme="majorHAnsi" w:hAnsiTheme="majorHAnsi" w:cstheme="majorHAnsi"/>
          <w:color w:val="222222"/>
        </w:rPr>
        <w:t>Identify SEND need across the school</w:t>
      </w:r>
    </w:p>
    <w:p w:rsidR="00400CE9" w:rsidRPr="00CE4F5A" w:rsidRDefault="00400CE9" w:rsidP="00CE4F5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 w:rsidRPr="00CE4F5A">
        <w:rPr>
          <w:rFonts w:asciiTheme="majorHAnsi" w:hAnsiTheme="majorHAnsi" w:cstheme="majorHAnsi"/>
          <w:color w:val="222222"/>
        </w:rPr>
        <w:t>Ensure high quality targeted interventions which enable students with SEND to make better progress</w:t>
      </w:r>
    </w:p>
    <w:p w:rsidR="00400CE9" w:rsidRPr="00CE4F5A" w:rsidRDefault="00400CE9" w:rsidP="00CE4F5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 w:rsidRPr="00CE4F5A">
        <w:rPr>
          <w:rFonts w:asciiTheme="majorHAnsi" w:hAnsiTheme="majorHAnsi" w:cstheme="majorHAnsi"/>
          <w:color w:val="222222"/>
        </w:rPr>
        <w:t>Meet statutory requirements with regard to the review of students with SEND and EHCPs</w:t>
      </w:r>
    </w:p>
    <w:p w:rsidR="00400CE9" w:rsidRPr="00CE4F5A" w:rsidRDefault="00400CE9" w:rsidP="00CE4F5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 w:rsidRPr="00CE4F5A">
        <w:rPr>
          <w:rFonts w:asciiTheme="majorHAnsi" w:hAnsiTheme="majorHAnsi" w:cstheme="majorHAnsi"/>
          <w:color w:val="222222"/>
        </w:rPr>
        <w:t>Support student</w:t>
      </w:r>
      <w:r w:rsidR="001D5AFB">
        <w:rPr>
          <w:rFonts w:asciiTheme="majorHAnsi" w:hAnsiTheme="majorHAnsi" w:cstheme="majorHAnsi"/>
          <w:color w:val="222222"/>
        </w:rPr>
        <w:t>s</w:t>
      </w:r>
      <w:r w:rsidRPr="00CE4F5A">
        <w:rPr>
          <w:rFonts w:asciiTheme="majorHAnsi" w:hAnsiTheme="majorHAnsi" w:cstheme="majorHAnsi"/>
          <w:color w:val="222222"/>
        </w:rPr>
        <w:t xml:space="preserve"> with SEND through effective communication with all stakeholders</w:t>
      </w:r>
    </w:p>
    <w:p w:rsidR="00400CE9" w:rsidRPr="00EA6B0B" w:rsidRDefault="00400CE9" w:rsidP="00CE4F5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 w:rsidRPr="00CE4F5A">
        <w:rPr>
          <w:rFonts w:asciiTheme="majorHAnsi" w:hAnsiTheme="majorHAnsi" w:cstheme="majorHAnsi"/>
          <w:color w:val="222222"/>
        </w:rPr>
        <w:t>Leadership of staff working within the SEND department</w:t>
      </w:r>
    </w:p>
    <w:p w:rsidR="00EA6B0B" w:rsidRDefault="00EA6B0B" w:rsidP="00EA6B0B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color w:val="222222"/>
        </w:rPr>
      </w:pPr>
    </w:p>
    <w:p w:rsidR="00EA6B0B" w:rsidRPr="007B524C" w:rsidRDefault="00EA6B0B" w:rsidP="00EA6B0B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b/>
          <w:color w:val="222222"/>
        </w:rPr>
      </w:pPr>
      <w:r w:rsidRPr="007B524C">
        <w:rPr>
          <w:rFonts w:asciiTheme="majorHAnsi" w:hAnsiTheme="majorHAnsi" w:cstheme="majorHAnsi"/>
          <w:b/>
          <w:color w:val="222222"/>
        </w:rPr>
        <w:t>Specific:</w:t>
      </w:r>
    </w:p>
    <w:p w:rsidR="00097AF4" w:rsidRPr="007B524C" w:rsidRDefault="00097AF4" w:rsidP="00EA6B0B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b/>
          <w:color w:val="222222"/>
        </w:rPr>
      </w:pPr>
    </w:p>
    <w:p w:rsidR="007B524C" w:rsidRDefault="007B524C" w:rsidP="00EA6B0B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color w:val="222222"/>
        </w:rPr>
      </w:pPr>
      <w:r w:rsidRPr="007B524C">
        <w:rPr>
          <w:rFonts w:asciiTheme="majorHAnsi" w:hAnsiTheme="majorHAnsi" w:cstheme="majorHAnsi"/>
          <w:b/>
          <w:color w:val="222222"/>
        </w:rPr>
        <w:t>Planning provision for students with SEND by</w:t>
      </w:r>
      <w:r>
        <w:rPr>
          <w:rFonts w:asciiTheme="majorHAnsi" w:hAnsiTheme="majorHAnsi" w:cstheme="majorHAnsi"/>
          <w:color w:val="222222"/>
        </w:rPr>
        <w:t xml:space="preserve">: </w:t>
      </w:r>
    </w:p>
    <w:p w:rsidR="00097AF4" w:rsidRDefault="00097AF4" w:rsidP="00EA6B0B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color w:val="222222"/>
        </w:rPr>
      </w:pPr>
    </w:p>
    <w:p w:rsidR="007B524C" w:rsidRDefault="007B524C" w:rsidP="00EA6B0B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Meeting with parents as a part of the cycle of review and during additional times when requested to do so </w:t>
      </w:r>
    </w:p>
    <w:p w:rsidR="00EA6B0B" w:rsidRDefault="00EA6B0B" w:rsidP="00EA6B0B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Analysis and interpretation of information shared in professional reports to inform support for students and responses to recommendations made </w:t>
      </w:r>
    </w:p>
    <w:p w:rsidR="00EA6B0B" w:rsidRDefault="00EA6B0B" w:rsidP="00EA6B0B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Use of school data to monitor the progress made by students with SEND to inform the review cycles and plan suitable interventions in response to emerging trends. </w:t>
      </w:r>
    </w:p>
    <w:p w:rsidR="00EA6B0B" w:rsidRDefault="00EA6B0B" w:rsidP="00EA6B0B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Communication with external support services</w:t>
      </w:r>
    </w:p>
    <w:p w:rsidR="007B524C" w:rsidRDefault="007B524C" w:rsidP="00EA6B0B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 attend external professional meetings to represent the school and the student if requested to do so. </w:t>
      </w:r>
    </w:p>
    <w:p w:rsidR="007B524C" w:rsidRDefault="007B524C" w:rsidP="00EA6B0B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Implementing the provision stated within EHCPs and taking necessary actions during review of these documents to ensure the best possible provision is made for students </w:t>
      </w:r>
    </w:p>
    <w:p w:rsidR="007B524C" w:rsidRDefault="007B524C" w:rsidP="00EA6B0B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Communication with staff in the pastoral team to ensure students with SEND have suitable provision for SEMH needs </w:t>
      </w:r>
    </w:p>
    <w:p w:rsidR="00EA6B0B" w:rsidRDefault="00EA6B0B" w:rsidP="00EA6B0B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Communicating with feeder schools during transition to allow suitable provision to be planned</w:t>
      </w:r>
    </w:p>
    <w:p w:rsidR="00EA6B0B" w:rsidRDefault="00EA6B0B" w:rsidP="00EA6B0B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Working with the SENCO to consider applications for school places from students with an EHCP to analyse if the school is able to meet need and make recommendations </w:t>
      </w:r>
      <w:r w:rsidR="001D5AFB">
        <w:rPr>
          <w:rFonts w:asciiTheme="majorHAnsi" w:hAnsiTheme="majorHAnsi" w:cstheme="majorHAnsi"/>
        </w:rPr>
        <w:t>if</w:t>
      </w:r>
      <w:r>
        <w:rPr>
          <w:rFonts w:asciiTheme="majorHAnsi" w:hAnsiTheme="majorHAnsi" w:cstheme="majorHAnsi"/>
        </w:rPr>
        <w:t xml:space="preserve"> the school can support </w:t>
      </w:r>
    </w:p>
    <w:p w:rsidR="00097AF4" w:rsidRPr="00CE4F5A" w:rsidRDefault="00097AF4" w:rsidP="00097AF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color w:val="000000"/>
        </w:rPr>
      </w:pPr>
      <w:r w:rsidRPr="00CE4F5A">
        <w:rPr>
          <w:rFonts w:asciiTheme="majorHAnsi" w:hAnsiTheme="majorHAnsi" w:cstheme="majorHAnsi"/>
          <w:color w:val="000000"/>
        </w:rPr>
        <w:t xml:space="preserve">Maintain an accurate SEND register and records  </w:t>
      </w:r>
    </w:p>
    <w:p w:rsidR="00097AF4" w:rsidRPr="00CE4F5A" w:rsidRDefault="00097AF4" w:rsidP="00097AF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25" w:line="262" w:lineRule="auto"/>
        <w:jc w:val="both"/>
        <w:rPr>
          <w:rFonts w:asciiTheme="majorHAnsi" w:hAnsiTheme="majorHAnsi" w:cstheme="majorHAnsi"/>
          <w:color w:val="000000"/>
        </w:rPr>
      </w:pPr>
      <w:r w:rsidRPr="00CE4F5A">
        <w:rPr>
          <w:rFonts w:asciiTheme="majorHAnsi" w:hAnsiTheme="majorHAnsi" w:cstheme="majorHAnsi"/>
          <w:color w:val="000000"/>
        </w:rPr>
        <w:t xml:space="preserve">Provide guidance to colleagues on teaching pupils with SEN or a disability and advise on the graduated approach to SEN support. </w:t>
      </w:r>
    </w:p>
    <w:p w:rsidR="00097AF4" w:rsidRDefault="001D5AFB" w:rsidP="00EA6B0B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Deliver intervention lessons if required</w:t>
      </w:r>
    </w:p>
    <w:p w:rsidR="007B524C" w:rsidRDefault="007B524C" w:rsidP="007B524C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</w:p>
    <w:p w:rsidR="00E72564" w:rsidRPr="00097AF4" w:rsidRDefault="00097AF4" w:rsidP="00CE4F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ind w:left="7"/>
        <w:jc w:val="both"/>
        <w:rPr>
          <w:rFonts w:asciiTheme="majorHAnsi" w:hAnsiTheme="majorHAnsi" w:cstheme="majorHAnsi"/>
          <w:b/>
          <w:color w:val="000000"/>
        </w:rPr>
      </w:pPr>
      <w:r w:rsidRPr="00097AF4">
        <w:rPr>
          <w:rFonts w:asciiTheme="majorHAnsi" w:hAnsiTheme="majorHAnsi" w:cstheme="majorHAnsi"/>
          <w:b/>
          <w:color w:val="000000"/>
        </w:rPr>
        <w:t>Supporting implementation of the SEND policy by:</w:t>
      </w:r>
    </w:p>
    <w:p w:rsidR="00E72564" w:rsidRPr="00CE4F5A" w:rsidRDefault="00097AF4" w:rsidP="00CE4F5A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25" w:line="262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Having </w:t>
      </w:r>
      <w:r w:rsidR="00606405" w:rsidRPr="00CE4F5A">
        <w:rPr>
          <w:rFonts w:asciiTheme="majorHAnsi" w:hAnsiTheme="majorHAnsi" w:cstheme="majorHAnsi"/>
          <w:color w:val="000000"/>
        </w:rPr>
        <w:t xml:space="preserve">a strategic overview of provision for pupils with </w:t>
      </w:r>
      <w:r w:rsidR="00400CE9" w:rsidRPr="00CE4F5A">
        <w:rPr>
          <w:rFonts w:asciiTheme="majorHAnsi" w:hAnsiTheme="majorHAnsi" w:cstheme="majorHAnsi"/>
          <w:color w:val="000000"/>
        </w:rPr>
        <w:t xml:space="preserve">SEND </w:t>
      </w:r>
      <w:r w:rsidR="00606405" w:rsidRPr="00CE4F5A">
        <w:rPr>
          <w:rFonts w:asciiTheme="majorHAnsi" w:hAnsiTheme="majorHAnsi" w:cstheme="majorHAnsi"/>
          <w:color w:val="000000"/>
        </w:rPr>
        <w:t xml:space="preserve">across the whole school, monitoring and reviewing the quality of provision. </w:t>
      </w:r>
    </w:p>
    <w:p w:rsidR="00E72564" w:rsidRPr="00CE4F5A" w:rsidRDefault="00097AF4" w:rsidP="00CE4F5A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4" w:line="263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lastRenderedPageBreak/>
        <w:t>Making</w:t>
      </w:r>
      <w:r w:rsidR="00606405" w:rsidRPr="00CE4F5A">
        <w:rPr>
          <w:rFonts w:asciiTheme="majorHAnsi" w:hAnsiTheme="majorHAnsi" w:cstheme="majorHAnsi"/>
          <w:color w:val="000000"/>
        </w:rPr>
        <w:t xml:space="preserve"> sure the SEN policy is put into practice </w:t>
      </w:r>
    </w:p>
    <w:p w:rsidR="00E72564" w:rsidRPr="00CE4F5A" w:rsidRDefault="00606405" w:rsidP="00CE4F5A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3" w:line="262" w:lineRule="auto"/>
        <w:jc w:val="both"/>
        <w:rPr>
          <w:rFonts w:asciiTheme="majorHAnsi" w:hAnsiTheme="majorHAnsi" w:cstheme="majorHAnsi"/>
          <w:color w:val="000000"/>
        </w:rPr>
      </w:pPr>
      <w:r w:rsidRPr="00CE4F5A">
        <w:rPr>
          <w:rFonts w:asciiTheme="majorHAnsi" w:hAnsiTheme="majorHAnsi" w:cstheme="majorHAnsi"/>
          <w:color w:val="000000"/>
        </w:rPr>
        <w:t>Maintain</w:t>
      </w:r>
      <w:r w:rsidR="00097AF4">
        <w:rPr>
          <w:rFonts w:asciiTheme="majorHAnsi" w:hAnsiTheme="majorHAnsi" w:cstheme="majorHAnsi"/>
          <w:color w:val="000000"/>
        </w:rPr>
        <w:t>ing</w:t>
      </w:r>
      <w:r w:rsidRPr="00CE4F5A">
        <w:rPr>
          <w:rFonts w:asciiTheme="majorHAnsi" w:hAnsiTheme="majorHAnsi" w:cstheme="majorHAnsi"/>
          <w:color w:val="000000"/>
        </w:rPr>
        <w:t xml:space="preserve"> up-to-date knowledge of national and local initiative</w:t>
      </w:r>
      <w:r w:rsidR="00400CE9" w:rsidRPr="00CE4F5A">
        <w:rPr>
          <w:rFonts w:asciiTheme="majorHAnsi" w:hAnsiTheme="majorHAnsi" w:cstheme="majorHAnsi"/>
          <w:color w:val="000000"/>
        </w:rPr>
        <w:t xml:space="preserve">s that may affect the school’s </w:t>
      </w:r>
      <w:r w:rsidRPr="00CE4F5A">
        <w:rPr>
          <w:rFonts w:asciiTheme="majorHAnsi" w:hAnsiTheme="majorHAnsi" w:cstheme="majorHAnsi"/>
          <w:color w:val="000000"/>
        </w:rPr>
        <w:t xml:space="preserve">policy and practice. </w:t>
      </w:r>
    </w:p>
    <w:p w:rsidR="00E72564" w:rsidRPr="00CE4F5A" w:rsidRDefault="00606405" w:rsidP="00CE4F5A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2" w:line="262" w:lineRule="auto"/>
        <w:jc w:val="both"/>
        <w:rPr>
          <w:rFonts w:asciiTheme="majorHAnsi" w:hAnsiTheme="majorHAnsi" w:cstheme="majorHAnsi"/>
          <w:color w:val="000000"/>
        </w:rPr>
      </w:pPr>
      <w:r w:rsidRPr="00CE4F5A">
        <w:rPr>
          <w:rFonts w:asciiTheme="majorHAnsi" w:hAnsiTheme="majorHAnsi" w:cstheme="majorHAnsi"/>
          <w:color w:val="000000"/>
        </w:rPr>
        <w:t>Ev</w:t>
      </w:r>
      <w:r w:rsidR="00400CE9" w:rsidRPr="00CE4F5A">
        <w:rPr>
          <w:rFonts w:asciiTheme="majorHAnsi" w:hAnsiTheme="majorHAnsi" w:cstheme="majorHAnsi"/>
          <w:color w:val="000000"/>
        </w:rPr>
        <w:t xml:space="preserve">aluate whether funding is being </w:t>
      </w:r>
      <w:r w:rsidRPr="00CE4F5A">
        <w:rPr>
          <w:rFonts w:asciiTheme="majorHAnsi" w:hAnsiTheme="majorHAnsi" w:cstheme="majorHAnsi"/>
          <w:color w:val="000000"/>
        </w:rPr>
        <w:t xml:space="preserve">used effectively, and </w:t>
      </w:r>
      <w:r w:rsidR="00400CE9" w:rsidRPr="00CE4F5A">
        <w:rPr>
          <w:rFonts w:asciiTheme="majorHAnsi" w:hAnsiTheme="majorHAnsi" w:cstheme="majorHAnsi"/>
          <w:color w:val="000000"/>
        </w:rPr>
        <w:t xml:space="preserve">suggest changes to make use of </w:t>
      </w:r>
      <w:r w:rsidRPr="00CE4F5A">
        <w:rPr>
          <w:rFonts w:asciiTheme="majorHAnsi" w:hAnsiTheme="majorHAnsi" w:cstheme="majorHAnsi"/>
          <w:color w:val="000000"/>
        </w:rPr>
        <w:t xml:space="preserve">funding more effective. </w:t>
      </w:r>
    </w:p>
    <w:p w:rsidR="00E72564" w:rsidRPr="00CE4F5A" w:rsidRDefault="00E72564" w:rsidP="00CE4F5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jc w:val="both"/>
        <w:rPr>
          <w:rFonts w:asciiTheme="majorHAnsi" w:hAnsiTheme="majorHAnsi" w:cstheme="majorHAnsi"/>
          <w:color w:val="000000"/>
        </w:rPr>
      </w:pPr>
    </w:p>
    <w:sectPr w:rsidR="00E72564" w:rsidRPr="00CE4F5A">
      <w:pgSz w:w="12240" w:h="15840"/>
      <w:pgMar w:top="346" w:right="1376" w:bottom="1632" w:left="14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3E2"/>
    <w:multiLevelType w:val="hybridMultilevel"/>
    <w:tmpl w:val="E60C1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8ECE8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19FE"/>
    <w:multiLevelType w:val="hybridMultilevel"/>
    <w:tmpl w:val="A5D6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67ED"/>
    <w:multiLevelType w:val="hybridMultilevel"/>
    <w:tmpl w:val="8614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47E6"/>
    <w:multiLevelType w:val="hybridMultilevel"/>
    <w:tmpl w:val="220E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00A11"/>
    <w:multiLevelType w:val="hybridMultilevel"/>
    <w:tmpl w:val="C6F2A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60846"/>
    <w:multiLevelType w:val="multilevel"/>
    <w:tmpl w:val="3F74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803E3F"/>
    <w:multiLevelType w:val="hybridMultilevel"/>
    <w:tmpl w:val="4F2A4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E501C"/>
    <w:multiLevelType w:val="hybridMultilevel"/>
    <w:tmpl w:val="FBC0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078E"/>
    <w:multiLevelType w:val="hybridMultilevel"/>
    <w:tmpl w:val="FE10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547E3"/>
    <w:multiLevelType w:val="hybridMultilevel"/>
    <w:tmpl w:val="2C4A7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1DEF"/>
    <w:multiLevelType w:val="hybridMultilevel"/>
    <w:tmpl w:val="1916C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65DA5"/>
    <w:multiLevelType w:val="hybridMultilevel"/>
    <w:tmpl w:val="9A2AD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64"/>
    <w:rsid w:val="00031269"/>
    <w:rsid w:val="00097AF4"/>
    <w:rsid w:val="0012555A"/>
    <w:rsid w:val="001D5AFB"/>
    <w:rsid w:val="00400CE9"/>
    <w:rsid w:val="004A0376"/>
    <w:rsid w:val="00606405"/>
    <w:rsid w:val="007B524C"/>
    <w:rsid w:val="00A907C7"/>
    <w:rsid w:val="00CE4F5A"/>
    <w:rsid w:val="00E72564"/>
    <w:rsid w:val="00E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2627A-CCD6-4306-85AE-54E902B3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2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7AA6-F800-4A3B-91F9-7BD0BD53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spiper</dc:creator>
  <cp:lastModifiedBy>Coopey-Palmer, Mrs L</cp:lastModifiedBy>
  <cp:revision>2</cp:revision>
  <dcterms:created xsi:type="dcterms:W3CDTF">2023-03-27T10:28:00Z</dcterms:created>
  <dcterms:modified xsi:type="dcterms:W3CDTF">2023-03-27T10:28:00Z</dcterms:modified>
</cp:coreProperties>
</file>