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spacing w:after="0" w:before="240" w:line="240" w:lineRule="auto"/>
        <w:jc w:val="center"/>
        <w:rPr>
          <w:rFonts w:ascii="Arial" w:cs="Arial" w:eastAsia="Arial" w:hAnsi="Arial"/>
          <w:b w:val="1"/>
          <w:bCs w:val="1"/>
          <w:color w:val="4a86e8"/>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0" w:before="240" w:line="240" w:lineRule="auto"/>
        <w:jc w:val="center"/>
        <w:rPr>
          <w:rFonts w:ascii="Arial" w:cs="Arial" w:eastAsia="Arial" w:hAnsi="Arial"/>
          <w:b w:val="1"/>
          <w:bCs w:val="1"/>
          <w:color w:val="4a86e8"/>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-600073</wp:posOffset>
            </wp:positionV>
            <wp:extent cx="5731510" cy="1067494"/>
            <wp:effectExtent b="0" l="0" r="0" t="0"/>
            <wp:wrapNone/>
            <wp:docPr descr="C:\Users\AD1\AppData\Local\Microsoft\Windows\INetCache\Content.MSO\BD4846B8.tmp" id="1" name="image1.png"/>
            <a:graphic>
              <a:graphicData uri="http://schemas.openxmlformats.org/drawingml/2006/picture">
                <pic:pic>
                  <pic:nvPicPr>
                    <pic:cNvPr descr="C:\Users\AD1\AppData\Local\Microsoft\Windows\INetCache\Content.MSO\BD4846B8.tmp" id="0" name="image1.png"/>
                    <pic:cNvPicPr preferRelativeResize="0"/>
                  </pic:nvPicPr>
                  <pic:blipFill>
                    <a:blip r:embed="rId7"/>
                    <a:srcRect b="0" l="0" r="0" t="0"/>
                    <a:stretch>
                      <a:fillRect/>
                    </a:stretch>
                  </pic:blipFill>
                  <pic:spPr>
                    <a:xfrm>
                      <a:off x="0" y="0"/>
                      <a:ext cx="5731510" cy="1067494"/>
                    </a:xfrm>
                    <a:prstGeom prst="rect"/>
                    <a:ln/>
                  </pic:spPr>
                </pic:pic>
              </a:graphicData>
            </a:graphic>
          </wp:anchor>
        </w:drawing>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0" w:before="240" w:line="240" w:lineRule="auto"/>
        <w:jc w:val="center"/>
        <w:rPr>
          <w:rFonts w:ascii="Arial" w:cs="Arial" w:eastAsia="Arial" w:hAnsi="Arial"/>
          <w:b w:val="1"/>
          <w:bCs w:val="1"/>
          <w:color w:val="4a86e8"/>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0" w:before="240" w:line="240" w:lineRule="auto"/>
        <w:jc w:val="center"/>
        <w:rPr>
          <w:rFonts w:ascii="Arial" w:cs="Arial" w:eastAsia="Arial" w:hAnsi="Arial"/>
          <w:b w:val="1"/>
          <w:bCs w:val="1"/>
          <w:color w:val="4a86e8"/>
          <w:sz w:val="24"/>
          <w:szCs w:val="24"/>
        </w:rPr>
      </w:pPr>
      <w:r w:rsidDel="00000000" w:rsidR="00000000" w:rsidRPr="00000000">
        <w:rPr>
          <w:rFonts w:ascii="Arial" w:cs="Arial" w:eastAsia="Arial" w:hAnsi="Arial"/>
          <w:b w:val="1"/>
          <w:bCs w:val="1"/>
          <w:color w:val="4a86e8"/>
          <w:sz w:val="24"/>
          <w:szCs w:val="24"/>
          <w:rtl w:val="0"/>
        </w:rPr>
        <w:t xml:space="preserve">Job Description - SENCo</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0" w:before="240" w:line="240" w:lineRule="auto"/>
        <w:rPr>
          <w:rFonts w:ascii="Arial" w:cs="Arial" w:eastAsia="Arial" w:hAnsi="Arial"/>
          <w:color w:val="000000"/>
          <w:sz w:val="8"/>
          <w:szCs w:val="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Cubitt Town is committed to creating a diverse workforce. We will consider all qualified applicants for employment without regard to sex, race, religion, belief, sexual orientation, gender reassignment, pregnancy, maternity, age, disability, marriage or civil partnership.</w:t>
      </w:r>
    </w:p>
    <w:p w:rsidR="00000000" w:rsidDel="00000000" w:rsidP="00000000" w:rsidRDefault="00000000" w:rsidRPr="00000000" w14:paraId="00000007">
      <w:pPr>
        <w:pStyle w:val="Heading1"/>
        <w:rPr/>
      </w:pPr>
      <w:r w:rsidDel="00000000" w:rsidR="00000000" w:rsidRPr="00000000">
        <w:rPr>
          <w:rtl w:val="0"/>
        </w:rPr>
        <w:t xml:space="preserve">Job details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Job title: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Special educational needs co-ordinator (SENCo)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Salary: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MPS/UPS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Contract type: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1 year fixed term</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Reporting to: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Angie Drew, Assistant Headteacher (Inclusion) </w:t>
      </w:r>
    </w:p>
    <w:p w:rsidR="00000000" w:rsidDel="00000000" w:rsidP="00000000" w:rsidRDefault="00000000" w:rsidRPr="00000000" w14:paraId="0000000C">
      <w:pPr>
        <w:pStyle w:val="Heading1"/>
        <w:rPr/>
      </w:pPr>
      <w:r w:rsidDel="00000000" w:rsidR="00000000" w:rsidRPr="00000000">
        <w:rPr>
          <w:rtl w:val="0"/>
        </w:rPr>
        <w:t xml:space="preserve">Main purpose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SENCo, under the direction of the headteacher, will:</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Determine the strategic development of special educational needs (SEN) policy and provision in the school</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 responsible for day-to-day operation of the SEN policy and co-ordination of specific provision to support individual pupils with SEN or a disability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Provide professional guidance to colleagues, working closely with staff, parents and carers, and other agencies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SENCO will be expected to fulfil the responsibilities of a teacher, as set out in the STPCD.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While the SENCO will have responsibility for the oversight of provision for pupils with SEN or a disability, class teachers will hold responsibility for the day-to-day education and support of pupils within their classroom.</w:t>
      </w:r>
    </w:p>
    <w:p w:rsidR="00000000" w:rsidDel="00000000" w:rsidP="00000000" w:rsidRDefault="00000000" w:rsidRPr="00000000" w14:paraId="00000015">
      <w:pPr>
        <w:pStyle w:val="Heading1"/>
        <w:rPr/>
      </w:pPr>
      <w:r w:rsidDel="00000000" w:rsidR="00000000" w:rsidRPr="00000000">
        <w:rPr>
          <w:rtl w:val="0"/>
        </w:rPr>
        <w:t xml:space="preserve">Duties and responsibilities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Strategic development of SEN policy and provision</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Have a strategic overview of provision for pupils with SEN or a disability across the school, monitoring and reviewing the quality of provision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Contribute to school self-evaluation, particularly with respect to provision for pupils with SEN or a disability</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Make sure the SEN policy is put into practice, and its objectives are reflected in the school improvement plan (SIP)</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Maintain up-to-date knowledge of national and local initiatives that may affect the school’s policy and practice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Evaluate whether funding is being used effectively, and suggest changes to make use of funding more effective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Operation of the SEN policy and co-ordination of provision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Maintain an accurate SEND register and provision map</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Provide guidance to colleagues on teaching pupils with SEN or a disability, and advise on the graduated approach to SEN support</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Advise colleagues on applying differentiated teaching strategies tailored for individual pupils with SEN</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Advise on the use of the school’s budget and other resources to meet pupils’ needs effectively, including staff deployment</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 aware of the provision in the local offer</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 with early years providers, other schools, educational psychologists, health and social care professionals and other external agencies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 a key point of contact for external agencies, especially the local authority (LA)</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Analyse assessment data for pupils with SEN or a disability</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Monitor intervention groups for pupils with SEN, and evaluate their effectiveness</w:t>
      </w:r>
    </w:p>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Support for pupils with SEN or a disability</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Identify a pupil’s SEN</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Co-ordinate provision that meets the pupil’s needs, and monitor its effectiveness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Secure relevant services for the pupil</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Ensure records are maintained and kept up to date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Review the education, health and care (EHC) plan with parents/carers and the pupil</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Communicate regularly with parents/carers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Ensure that if the pupil transfers to another school, all relevant information is conveyed to that school, and support a smooth transition for the pupil</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Promote the pupil’s inclusion in the school community and access to the curriculum, facilities and extra-curricular activities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 with the designated teacher for looked-after children (LAC), where a looked-after pupil has SEN or a disability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Leadership and management</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Prepare and review information the governing board is required to publish</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Contribute to the SIP and whole-school policy</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Identify training needs for staff and how to meet these needs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Lead INSET training for staff</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Share procedural information, such as the school’s SEN policy</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Promote an ethos and culture that supports the school’s SEN policy and promotes good outcomes for pupils with SEN or a disability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Safeguarding</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Liaise and collaborate with the designated safeguarding lead (DSL) on matters of safeguarding and welfare for pupils with SEN</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Remain alert to the fact that pupils with SEN may be more vulnerable to safeguarding challenges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1"/>
        <w:rPr/>
      </w:pPr>
      <w:r w:rsidDel="00000000" w:rsidR="00000000" w:rsidRPr="00000000">
        <w:rPr>
          <w:rtl w:val="0"/>
        </w:rPr>
        <w:t xml:space="preserve">Other areas of responsibility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SENCo will be required to safeguard and promote the welfare of children and young people and follow school policies and the staff code of conduct.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note that this is illustrative of the general nature and level of responsibility of the role. It is not a comprehensive list of all tasks that the SENCo will carry out. The postholder may be required to do other duties appropriate to the level of the role, as directed by the Assistant Headteacher for Inclusion.</w:t>
      </w:r>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1"/>
        <w:rPr/>
      </w:pPr>
      <w:r w:rsidDel="00000000" w:rsidR="00000000" w:rsidRPr="00000000">
        <w:rPr>
          <w:rtl w:val="0"/>
        </w:rPr>
        <w:t xml:space="preserve">Person specification</w:t>
      </w:r>
    </w:p>
    <w:tbl>
      <w:tblPr>
        <w:tblStyle w:val="Table1"/>
        <w:tblW w:w="8908.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539"/>
        <w:gridCol w:w="7369"/>
        <w:tblGridChange w:id="0">
          <w:tblGrid>
            <w:gridCol w:w="1539"/>
            <w:gridCol w:w="7369"/>
          </w:tblGrid>
        </w:tblGridChange>
      </w:tblGrid>
      <w:tr>
        <w:trPr>
          <w:cantSplit w:val="1"/>
          <w:tblHeader w:val="0"/>
        </w:trPr>
        <w:tc>
          <w:tcPr>
            <w:tcBorders>
              <w:top w:color="f8f8f8" w:space="0" w:sz="4" w:val="single"/>
              <w:left w:color="f8f8f8" w:space="0" w:sz="4" w:val="single"/>
              <w:bottom w:color="f8f8f8" w:space="0" w:sz="4" w:val="single"/>
              <w:right w:color="f8f8f8" w:space="0" w:sz="12" w:val="single"/>
            </w:tcBorders>
            <w:shd w:fill="12263f" w:val="cle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CRITERIA</w:t>
            </w:r>
          </w:p>
        </w:tc>
        <w:tc>
          <w:tcPr>
            <w:tcBorders>
              <w:top w:color="f8f8f8" w:space="0" w:sz="4" w:val="single"/>
              <w:left w:color="f8f8f8" w:space="0" w:sz="12" w:val="single"/>
              <w:bottom w:color="f8f8f8" w:space="0" w:sz="4" w:val="single"/>
              <w:right w:color="f8f8f8" w:space="0" w:sz="4" w:val="single"/>
            </w:tcBorders>
            <w:shd w:fill="12263f"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QUALITIES</w:t>
            </w:r>
          </w:p>
        </w:tc>
      </w:tr>
      <w:tr>
        <w:trPr>
          <w:cantSplit w:val="1"/>
          <w:tblHeader w:val="0"/>
        </w:trPr>
        <w:tc>
          <w:tcPr>
            <w:tcBorders>
              <w:top w:color="f8f8f8" w:space="0" w:sz="4" w:val="single"/>
            </w:tcBorders>
          </w:tcPr>
          <w:p w:rsidR="00000000" w:rsidDel="00000000" w:rsidP="00000000" w:rsidRDefault="00000000" w:rsidRPr="00000000" w14:paraId="00000046">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Qualifications </w:t>
              <w:br w:type="textWrapping"/>
              <w:t xml:space="preserve">and training</w:t>
            </w:r>
          </w:p>
        </w:tc>
        <w:tc>
          <w:tcPr>
            <w:tcBorders>
              <w:top w:color="f8f8f8" w:space="0" w:sz="4" w:val="single"/>
            </w:tcBorders>
          </w:tcPr>
          <w:p w:rsidR="00000000" w:rsidDel="00000000" w:rsidP="00000000" w:rsidRDefault="00000000" w:rsidRPr="00000000" w14:paraId="00000047">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Qualified teacher status </w:t>
            </w:r>
          </w:p>
          <w:p w:rsidR="00000000" w:rsidDel="00000000" w:rsidP="00000000" w:rsidRDefault="00000000" w:rsidRPr="00000000" w14:paraId="00000048">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National professional qualification (NPQ) for SENCOs, the previous qualification,]</w:t>
            </w:r>
          </w:p>
          <w:p w:rsidR="00000000" w:rsidDel="00000000" w:rsidP="00000000" w:rsidRDefault="00000000" w:rsidRPr="00000000" w14:paraId="00000049">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Degree</w:t>
            </w:r>
          </w:p>
          <w:p w:rsidR="00000000" w:rsidDel="00000000" w:rsidP="00000000" w:rsidRDefault="00000000" w:rsidRPr="00000000" w14:paraId="0000004A">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17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tcMar>
              <w:top w:w="113.0" w:type="dxa"/>
              <w:bottom w:w="113.0" w:type="dxa"/>
            </w:tcMar>
          </w:tcPr>
          <w:p w:rsidR="00000000" w:rsidDel="00000000" w:rsidP="00000000" w:rsidRDefault="00000000" w:rsidRPr="00000000" w14:paraId="0000004B">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Experience</w:t>
            </w:r>
          </w:p>
        </w:tc>
        <w:tc>
          <w:tcPr>
            <w:tcMar>
              <w:top w:w="113.0" w:type="dxa"/>
              <w:bottom w:w="113.0" w:type="dxa"/>
            </w:tcMar>
          </w:tcPr>
          <w:p w:rsidR="00000000" w:rsidDel="00000000" w:rsidP="00000000" w:rsidRDefault="00000000" w:rsidRPr="00000000" w14:paraId="0000004C">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Teaching experience, with a high level of experience in the Early Years</w:t>
            </w:r>
          </w:p>
          <w:p w:rsidR="00000000" w:rsidDel="00000000" w:rsidP="00000000" w:rsidRDefault="00000000" w:rsidRPr="00000000" w14:paraId="0000004D">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Experience of working at a whole-school level</w:t>
            </w:r>
          </w:p>
          <w:p w:rsidR="00000000" w:rsidDel="00000000" w:rsidP="00000000" w:rsidRDefault="00000000" w:rsidRPr="00000000" w14:paraId="0000004E">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Experience of working with children with a range of SEN including experience of working with pupils with Autism Spectrum Disorder (ASD</w:t>
            </w:r>
          </w:p>
          <w:p w:rsidR="00000000" w:rsidDel="00000000" w:rsidP="00000000" w:rsidRDefault="00000000" w:rsidRPr="00000000" w14:paraId="0000004F">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Involvement in self-evaluation and development planning</w:t>
            </w:r>
          </w:p>
          <w:p w:rsidR="00000000" w:rsidDel="00000000" w:rsidP="00000000" w:rsidRDefault="00000000" w:rsidRPr="00000000" w14:paraId="00000050">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Experience of conducting training/leading INSET</w:t>
            </w:r>
          </w:p>
        </w:tc>
      </w:tr>
      <w:tr>
        <w:trPr>
          <w:cantSplit w:val="1"/>
          <w:tblHeader w:val="0"/>
        </w:trPr>
        <w:tc>
          <w:tcPr>
            <w:tcMar>
              <w:top w:w="113.0" w:type="dxa"/>
              <w:bottom w:w="113.0" w:type="dxa"/>
            </w:tcMar>
          </w:tcPr>
          <w:p w:rsidR="00000000" w:rsidDel="00000000" w:rsidP="00000000" w:rsidRDefault="00000000" w:rsidRPr="00000000" w14:paraId="00000051">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Skills and knowledge</w:t>
            </w:r>
          </w:p>
        </w:tc>
        <w:tc>
          <w:tcPr>
            <w:tcMar>
              <w:top w:w="113.0" w:type="dxa"/>
              <w:bottom w:w="113.0" w:type="dxa"/>
            </w:tcMar>
          </w:tcPr>
          <w:p w:rsidR="00000000" w:rsidDel="00000000" w:rsidP="00000000" w:rsidRDefault="00000000" w:rsidRPr="00000000" w14:paraId="00000052">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Sound knowledge of the SEND Code of Practice</w:t>
            </w:r>
          </w:p>
          <w:p w:rsidR="00000000" w:rsidDel="00000000" w:rsidP="00000000" w:rsidRDefault="00000000" w:rsidRPr="00000000" w14:paraId="00000053">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Understanding of what makes ‘quality first’ teaching, and of effective intervention strategies</w:t>
            </w:r>
          </w:p>
          <w:p w:rsidR="00000000" w:rsidDel="00000000" w:rsidP="00000000" w:rsidRDefault="00000000" w:rsidRPr="00000000" w14:paraId="00000054">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Ability to plan and evaluate interventions</w:t>
            </w:r>
          </w:p>
          <w:p w:rsidR="00000000" w:rsidDel="00000000" w:rsidP="00000000" w:rsidRDefault="00000000" w:rsidRPr="00000000" w14:paraId="00000055">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Data analysis skills and the ability to use data to inform provision planning</w:t>
            </w:r>
          </w:p>
          <w:p w:rsidR="00000000" w:rsidDel="00000000" w:rsidP="00000000" w:rsidRDefault="00000000" w:rsidRPr="00000000" w14:paraId="00000056">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Effective communication and interpersonal skills</w:t>
            </w:r>
          </w:p>
          <w:p w:rsidR="00000000" w:rsidDel="00000000" w:rsidP="00000000" w:rsidRDefault="00000000" w:rsidRPr="00000000" w14:paraId="00000057">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Ability to build effective working relationships</w:t>
            </w:r>
          </w:p>
          <w:p w:rsidR="00000000" w:rsidDel="00000000" w:rsidP="00000000" w:rsidRDefault="00000000" w:rsidRPr="00000000" w14:paraId="00000058">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Ability to influence and negotiate</w:t>
            </w:r>
          </w:p>
          <w:p w:rsidR="00000000" w:rsidDel="00000000" w:rsidP="00000000" w:rsidRDefault="00000000" w:rsidRPr="00000000" w14:paraId="00000059">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Good record-keeping skills</w:t>
            </w:r>
          </w:p>
        </w:tc>
      </w:tr>
      <w:tr>
        <w:trPr>
          <w:cantSplit w:val="1"/>
          <w:tblHeader w:val="0"/>
        </w:trPr>
        <w:tc>
          <w:tcPr>
            <w:tcMar>
              <w:top w:w="113.0" w:type="dxa"/>
              <w:bottom w:w="113.0" w:type="dxa"/>
            </w:tcMar>
          </w:tcPr>
          <w:p w:rsidR="00000000" w:rsidDel="00000000" w:rsidP="00000000" w:rsidRDefault="00000000" w:rsidRPr="00000000" w14:paraId="0000005A">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Personal qualities</w:t>
            </w:r>
          </w:p>
        </w:tc>
        <w:tc>
          <w:tcPr>
            <w:tcMar>
              <w:top w:w="113.0" w:type="dxa"/>
              <w:bottom w:w="113.0" w:type="dxa"/>
            </w:tcMar>
          </w:tcPr>
          <w:p w:rsidR="00000000" w:rsidDel="00000000" w:rsidP="00000000" w:rsidRDefault="00000000" w:rsidRPr="00000000" w14:paraId="0000005B">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Commitment to getting the best outcomes for pupils and promoting the ethos and values of the school</w:t>
            </w:r>
          </w:p>
          <w:p w:rsidR="00000000" w:rsidDel="00000000" w:rsidP="00000000" w:rsidRDefault="00000000" w:rsidRPr="00000000" w14:paraId="0000005C">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Commitment to equal opportunities and securing good outcomes for pupils with SEN or a disability</w:t>
            </w:r>
          </w:p>
          <w:p w:rsidR="00000000" w:rsidDel="00000000" w:rsidP="00000000" w:rsidRDefault="00000000" w:rsidRPr="00000000" w14:paraId="0000005D">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Ability to work under pressure and prioritise effectively</w:t>
            </w:r>
          </w:p>
          <w:p w:rsidR="00000000" w:rsidDel="00000000" w:rsidP="00000000" w:rsidRDefault="00000000" w:rsidRPr="00000000" w14:paraId="0000005E">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Commitment to maintaining confidentiality at all times</w:t>
            </w:r>
          </w:p>
          <w:p w:rsidR="00000000" w:rsidDel="00000000" w:rsidP="00000000" w:rsidRDefault="00000000" w:rsidRPr="00000000" w14:paraId="0000005F">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Commitment to safeguarding and equality</w:t>
            </w:r>
          </w:p>
          <w:p w:rsidR="00000000" w:rsidDel="00000000" w:rsidP="00000000" w:rsidRDefault="00000000" w:rsidRPr="00000000" w14:paraId="00000060">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pPr>
            <w:bookmarkStart w:colFirst="0" w:colLast="0" w:name="_heading=h.yuugxh74jmb0"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Ability to work collaboratively within a team</w:t>
            </w:r>
          </w:p>
          <w:p w:rsidR="00000000" w:rsidDel="00000000" w:rsidP="00000000" w:rsidRDefault="00000000" w:rsidRPr="00000000" w14:paraId="00000061">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17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170"/>
      </w:pPr>
      <w:rPr>
        <w:rFonts w:ascii="Noto Sans Symbols" w:cs="Noto Sans Symbols" w:eastAsia="Noto Sans Symbols" w:hAnsi="Noto Sans Symbols"/>
        <w:color w:val="000000"/>
      </w:rPr>
    </w:lvl>
    <w:lvl w:ilvl="1">
      <w:start w:val="1"/>
      <w:numFmt w:val="bullet"/>
      <w:lvlText w:val="o"/>
      <w:lvlJc w:val="left"/>
      <w:pPr>
        <w:ind w:left="1270" w:hanging="360"/>
      </w:pPr>
      <w:rPr>
        <w:rFonts w:ascii="Courier New" w:cs="Courier New" w:eastAsia="Courier New" w:hAnsi="Courier New"/>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2">
    <w:lvl w:ilvl="0">
      <w:start w:val="1"/>
      <w:numFmt w:val="bullet"/>
      <w:lvlText w:val="●"/>
      <w:lvlJc w:val="left"/>
      <w:pPr>
        <w:ind w:left="340" w:hanging="17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jTq5Pln3SR9BEOnoqpS9fDUCA==">CgMxLjAyDmgueXV1Z3hoNzRqbWIwOAByITE3MG1VVkhaZzNDQ3BhQmNwMVdzcExSNzdEemRPSnJiRw==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