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color="000000" w:space="1" w:sz="4" w:val="single"/>
          <w:left w:color="000000" w:space="9" w:sz="4" w:val="single"/>
          <w:bottom w:color="000000" w:space="1" w:sz="4" w:val="single"/>
          <w:right w:color="000000" w:space="31" w:sz="4" w:val="single"/>
        </w:pBdr>
        <w:shd w:fill="e0e0e0" w:val="clear"/>
        <w:ind w:left="-1260" w:firstLine="126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38.0" w:type="dxa"/>
        <w:jc w:val="left"/>
        <w:tblInd w:w="-1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8"/>
        <w:gridCol w:w="4477"/>
        <w:gridCol w:w="2410"/>
        <w:gridCol w:w="2333"/>
        <w:tblGridChange w:id="0">
          <w:tblGrid>
            <w:gridCol w:w="1818"/>
            <w:gridCol w:w="4477"/>
            <w:gridCol w:w="2410"/>
            <w:gridCol w:w="2333"/>
          </w:tblGrid>
        </w:tblGridChange>
      </w:tblGrid>
      <w:tr>
        <w:trPr>
          <w:trHeight w:val="380" w:hRule="atLeast"/>
        </w:trPr>
        <w:tc>
          <w:tcPr>
            <w:tcBorders>
              <w:bottom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3">
            <w:pPr>
              <w:pStyle w:val="Heading6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SEND and Maths Intervention Teacher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pStyle w:val="Heading6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Seven Kings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pStyle w:val="Heading6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Salary Range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MPS/UPR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" w:hRule="atLeast"/>
        </w:trPr>
        <w:tc>
          <w:tcPr>
            <w:gridSpan w:val="4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4"/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Style w:val="Heading6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Selection Criteria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3" w:hRule="atLeast"/>
        </w:trPr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Education and Qualifications: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Degree status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Qualified Teacher status achieved or pending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Relevant specialist knowledge from qualifications and experience within the area of Special Educational Needs.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9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Experience and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teaching SEND in a Secondary School in a substantive post, temporary post, or as part of initial teacher training programme with teaching experience across the secondary age range 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spacing w:after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with students with a variety of special educational needs both in class and in small group or one to one situations,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particularly in numeracy.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spacing w:after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successfully with teaching colleagues on differentiation and on developing strategies to meet differing needs.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6"/>
              </w:numPr>
              <w:spacing w:after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successfully with Learning Support Assistants to plan and develop approaches that can be used in various learning situations.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spacing w:after="240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with a range of outside agencies to deliver agreed outcomes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Successful experience of monitoring and evaluation practices 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Commitment to continual further professional development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Commitment to the well-being and safeguarding of children by adhering to school policy and procedure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Successful experience of working collaboratively and planning within a team</w:t>
            </w:r>
          </w:p>
        </w:tc>
      </w:tr>
      <w:tr>
        <w:trPr>
          <w:trHeight w:val="609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Knowledge, understanding and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understanding of issues related to the promotion of effective learning and teaching particularly in relation to students with 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good knowledge and understanding of current curriculum developments including those relating to SEN, its statutory requirements and the Code of Practice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and understanding of numeracy intervention strategies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spacing w:after="240" w:lineRule="auto"/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manage a caseload of students and keep abreast of their learning, behavioural and physical needs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and understanding of issues related to the promotion of effective learning and teaching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Knowledge, understanding and engagement with current curriculum developments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and understanding of current assessment and target setting practices, including statutory requirements, underpinned by a commitment to AFL and the school’s Feed Forward policy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ability to interpret and use soft and hard data to inform personalised support and targeted intervention 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Commitment to knowledge and strategies to promote positive self-regulatory behaviour and to role model positive Behaviour for Learning and Community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IT skills and a good awareness of the role of IT in supporting learning and teaching both in the classroom and beyond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720" w:firstLine="0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understanding of the component parts that inform school review and improvement and your pivotal role within that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commitment and understanding of how to raise achievement 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in a diverse all-through community school</w:t>
            </w:r>
          </w:p>
          <w:p w:rsidR="00000000" w:rsidDel="00000000" w:rsidP="00000000" w:rsidRDefault="00000000" w:rsidRPr="00000000" w14:paraId="0000004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Personal qualities: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 personal values and motivation to lead in line with the ethos of Seven Kings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Unconditional positive regard 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young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interpersonal skills; evidence of good relationships with students, parents and colleagues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verbal and written communication skills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ability to communicate well and persuasively with a range of audiences, staff, parents, students, external agencies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enthusiasm for the post and ability to motivate and inspire and influence pupils, staff, parents / carers and Governors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high level of commitment to the school and its continuing development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Flexibility and the ability to balance priorities and absorb pressure both for yourself and others seeking support as needed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360" w:firstLine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3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General: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 responsible for own health and safety as well as that of colleagues, students and the public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Be aware of and comply with policies and procedures relating to safeguarding and promoting the welfare of children, health, safety and security, confidentiality and data protection</w:t>
            </w:r>
          </w:p>
          <w:p w:rsidR="00000000" w:rsidDel="00000000" w:rsidP="00000000" w:rsidRDefault="00000000" w:rsidRPr="00000000" w14:paraId="0000006A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To demonstrate an understanding of and commitment to equal opportunities and diversity and to the standards of customer care</w:t>
            </w:r>
          </w:p>
          <w:p w:rsidR="00000000" w:rsidDel="00000000" w:rsidP="00000000" w:rsidRDefault="00000000" w:rsidRPr="00000000" w14:paraId="0000006C">
            <w:pPr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80" w:top="1258" w:left="1800" w:right="12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4121784</wp:posOffset>
          </wp:positionH>
          <wp:positionV relativeFrom="paragraph">
            <wp:posOffset>-212087</wp:posOffset>
          </wp:positionV>
          <wp:extent cx="1927860" cy="4286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786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