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BA78" w14:textId="77777777" w:rsidR="009C21D1" w:rsidRDefault="009C21D1" w:rsidP="009C21D1">
      <w:pPr>
        <w:jc w:val="center"/>
        <w:rPr>
          <w:b/>
          <w:bCs/>
        </w:rPr>
      </w:pPr>
      <w:r>
        <w:rPr>
          <w:b/>
          <w:noProof/>
          <w:lang w:eastAsia="en-GB"/>
        </w:rPr>
        <w:drawing>
          <wp:inline distT="0" distB="0" distL="0" distR="0" wp14:anchorId="5AB7E5A7" wp14:editId="5BF22968">
            <wp:extent cx="1035050" cy="1035050"/>
            <wp:effectExtent l="0" t="0" r="0" b="0"/>
            <wp:docPr id="1" name="Picture 1" descr="C:\Users\head\AppData\Local\Microsoft\Windows\Temporary Internet Files\Content.Outlook\51U041HF\St_peters_logo_high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d\AppData\Local\Microsoft\Windows\Temporary Internet Files\Content.Outlook\51U041HF\St_peters_logo_highr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103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E460" w14:textId="77777777" w:rsidR="009C21D1" w:rsidRDefault="009C21D1" w:rsidP="00EF1C0C">
      <w:pPr>
        <w:rPr>
          <w:b/>
          <w:bCs/>
        </w:rPr>
      </w:pPr>
    </w:p>
    <w:p w14:paraId="43EA56A2" w14:textId="65B776F1" w:rsidR="00EF1C0C" w:rsidRPr="00EF1C0C" w:rsidRDefault="00EF1C0C" w:rsidP="00EF1C0C">
      <w:pPr>
        <w:rPr>
          <w:b/>
          <w:bCs/>
        </w:rPr>
      </w:pPr>
      <w:r w:rsidRPr="00EF1C0C">
        <w:rPr>
          <w:b/>
          <w:bCs/>
        </w:rPr>
        <w:t>Job Description: SENDCo / Inclusion Lead</w:t>
      </w:r>
    </w:p>
    <w:p w14:paraId="100A63CA" w14:textId="13BD5E43" w:rsidR="00EF1C0C" w:rsidRPr="00EF1C0C" w:rsidRDefault="00EF1C0C" w:rsidP="00EF1C0C">
      <w:r w:rsidRPr="00EF1C0C">
        <w:rPr>
          <w:b/>
          <w:bCs/>
        </w:rPr>
        <w:t>Responsible to:</w:t>
      </w:r>
      <w:r w:rsidRPr="00EF1C0C">
        <w:t xml:space="preserve"> Headteacher </w:t>
      </w:r>
      <w:r w:rsidRPr="00EF1C0C">
        <w:br/>
      </w:r>
      <w:r w:rsidRPr="00EF1C0C">
        <w:rPr>
          <w:b/>
          <w:bCs/>
        </w:rPr>
        <w:t>Salary/Grade:</w:t>
      </w:r>
      <w:r w:rsidRPr="00EF1C0C">
        <w:t xml:space="preserve"> Qualified Teacher Pay Scale + </w:t>
      </w:r>
      <w:r w:rsidR="009C21D1">
        <w:t xml:space="preserve">possible </w:t>
      </w:r>
      <w:r w:rsidRPr="00EF1C0C">
        <w:t xml:space="preserve">SEN Allowance (depending </w:t>
      </w:r>
      <w:r w:rsidR="009C21D1">
        <w:t>up</w:t>
      </w:r>
      <w:r w:rsidRPr="00EF1C0C">
        <w:t>on experience)</w:t>
      </w:r>
      <w:r w:rsidRPr="00EF1C0C">
        <w:br/>
      </w:r>
      <w:r w:rsidRPr="00EF1C0C">
        <w:rPr>
          <w:b/>
          <w:bCs/>
        </w:rPr>
        <w:t>Hours:</w:t>
      </w:r>
      <w:r w:rsidRPr="00EF1C0C">
        <w:t xml:space="preserve"> </w:t>
      </w:r>
      <w:r>
        <w:t>0.8 role</w:t>
      </w:r>
    </w:p>
    <w:p w14:paraId="79A2F52D" w14:textId="77777777" w:rsidR="00EF1C0C" w:rsidRPr="00EF1C0C" w:rsidRDefault="00EF1C0C" w:rsidP="00EF1C0C">
      <w:pPr>
        <w:rPr>
          <w:b/>
          <w:bCs/>
        </w:rPr>
      </w:pPr>
      <w:r w:rsidRPr="00EF1C0C">
        <w:rPr>
          <w:b/>
          <w:bCs/>
        </w:rPr>
        <w:t>Job Purpose</w:t>
      </w:r>
    </w:p>
    <w:p w14:paraId="7BA4B369" w14:textId="0391B8B5" w:rsidR="00EF1C0C" w:rsidRPr="00EF1C0C" w:rsidRDefault="00EF1C0C" w:rsidP="00EF1C0C">
      <w:r w:rsidRPr="00EF1C0C">
        <w:t>To provide strategic direction and operational leadership for Special Educational Needs and Disabilities (SEND)</w:t>
      </w:r>
      <w:r w:rsidR="00DC69D7">
        <w:t xml:space="preserve"> and </w:t>
      </w:r>
      <w:r w:rsidRPr="00EF1C0C">
        <w:t>Inclusion</w:t>
      </w:r>
      <w:r w:rsidR="00DC69D7">
        <w:t xml:space="preserve">. </w:t>
      </w:r>
      <w:r w:rsidRPr="00EF1C0C">
        <w:t xml:space="preserve"> In a one-form entry primary school, the postholder will champion high-quality inclusive practice, ensuring that all pupils—including those with SEND, </w:t>
      </w:r>
      <w:r w:rsidR="00415438">
        <w:t xml:space="preserve">Pupil Premium (PP), </w:t>
      </w:r>
      <w:r w:rsidRPr="00EF1C0C">
        <w:t>English as an Additional Language (EAL)</w:t>
      </w:r>
      <w:r w:rsidR="00DC69D7">
        <w:t xml:space="preserve"> and </w:t>
      </w:r>
      <w:r w:rsidRPr="00EF1C0C">
        <w:t>Looked After Children (LAC)</w:t>
      </w:r>
      <w:r w:rsidR="00DC69D7">
        <w:t xml:space="preserve"> </w:t>
      </w:r>
      <w:r w:rsidRPr="00EF1C0C">
        <w:t xml:space="preserve">—are supported to achieve their full potential. </w:t>
      </w:r>
    </w:p>
    <w:p w14:paraId="7883AAEB" w14:textId="77777777" w:rsidR="00EF1C0C" w:rsidRPr="00EF1C0C" w:rsidRDefault="00EF1C0C" w:rsidP="00EF1C0C">
      <w:pPr>
        <w:rPr>
          <w:b/>
          <w:bCs/>
        </w:rPr>
      </w:pPr>
      <w:r w:rsidRPr="00EF1C0C">
        <w:rPr>
          <w:b/>
          <w:bCs/>
        </w:rPr>
        <w:t>Key Responsibilities</w:t>
      </w:r>
    </w:p>
    <w:p w14:paraId="6E40E93D" w14:textId="77777777" w:rsidR="00EF1C0C" w:rsidRPr="00EF1C0C" w:rsidRDefault="00EF1C0C" w:rsidP="00EF1C0C">
      <w:r w:rsidRPr="00EF1C0C">
        <w:rPr>
          <w:b/>
          <w:bCs/>
        </w:rPr>
        <w:t>1. Strategic Direction &amp; Leadership (SLT)</w:t>
      </w:r>
    </w:p>
    <w:p w14:paraId="4B40AA57" w14:textId="77777777" w:rsidR="00EF1C0C" w:rsidRPr="00EF1C0C" w:rsidRDefault="00EF1C0C" w:rsidP="00EF1C0C">
      <w:pPr>
        <w:numPr>
          <w:ilvl w:val="0"/>
          <w:numId w:val="1"/>
        </w:numPr>
      </w:pPr>
      <w:r w:rsidRPr="00EF1C0C">
        <w:t>Play a central role in the Senior Leadership Team, helping to shape the school’s vision and strategic School Improvement Plan.</w:t>
      </w:r>
    </w:p>
    <w:p w14:paraId="0AD3BC14" w14:textId="77777777" w:rsidR="00EF1C0C" w:rsidRPr="00EF1C0C" w:rsidRDefault="00EF1C0C" w:rsidP="00EF1C0C">
      <w:pPr>
        <w:numPr>
          <w:ilvl w:val="0"/>
          <w:numId w:val="1"/>
        </w:numPr>
      </w:pPr>
      <w:r w:rsidRPr="00EF1C0C">
        <w:t>Oversee the day-to-day operation of the school’s SEND and Inclusion policies.</w:t>
      </w:r>
    </w:p>
    <w:p w14:paraId="77E2F107" w14:textId="77777777" w:rsidR="00EF1C0C" w:rsidRPr="00EF1C0C" w:rsidRDefault="00EF1C0C" w:rsidP="00EF1C0C">
      <w:pPr>
        <w:numPr>
          <w:ilvl w:val="0"/>
          <w:numId w:val="1"/>
        </w:numPr>
      </w:pPr>
      <w:r w:rsidRPr="00EF1C0C">
        <w:t>Evaluate the effectiveness of inclusion and SEND provision, reporting regularly to the Headteacher and the Governing Body.</w:t>
      </w:r>
    </w:p>
    <w:p w14:paraId="426CEA59" w14:textId="77777777" w:rsidR="00EF1C0C" w:rsidRDefault="00EF1C0C" w:rsidP="00D47DA7">
      <w:pPr>
        <w:numPr>
          <w:ilvl w:val="0"/>
          <w:numId w:val="1"/>
        </w:numPr>
      </w:pPr>
      <w:r w:rsidRPr="00EF1C0C">
        <w:t xml:space="preserve">Manage the targeted SEND and Inclusion budget, ensuring resources are deployed effectively to meet pupil needs. </w:t>
      </w:r>
    </w:p>
    <w:p w14:paraId="069EC422" w14:textId="77B641A8" w:rsidR="00415438" w:rsidRDefault="00415438" w:rsidP="00D47DA7">
      <w:pPr>
        <w:numPr>
          <w:ilvl w:val="0"/>
          <w:numId w:val="1"/>
        </w:numPr>
      </w:pPr>
      <w:r>
        <w:t>Line</w:t>
      </w:r>
      <w:r w:rsidR="00DC69D7">
        <w:t>-</w:t>
      </w:r>
      <w:r>
        <w:t>manage</w:t>
      </w:r>
      <w:r w:rsidR="00DC69D7">
        <w:t xml:space="preserve">ment of the </w:t>
      </w:r>
      <w:r>
        <w:t>Learning Support Assistants</w:t>
      </w:r>
      <w:r w:rsidR="00DC69D7">
        <w:t xml:space="preserve"> (LSAs)</w:t>
      </w:r>
      <w:r>
        <w:t xml:space="preserve"> who work directly with </w:t>
      </w:r>
      <w:r w:rsidR="00DC69D7">
        <w:t xml:space="preserve">the </w:t>
      </w:r>
      <w:r>
        <w:t xml:space="preserve">children </w:t>
      </w:r>
      <w:r w:rsidR="00DC69D7">
        <w:t xml:space="preserve">awarded </w:t>
      </w:r>
      <w:r>
        <w:t>Education Health Care Plans (EHCPs)</w:t>
      </w:r>
    </w:p>
    <w:p w14:paraId="7E8D2422" w14:textId="7BA3A32C" w:rsidR="00EF1C0C" w:rsidRPr="00EF1C0C" w:rsidRDefault="00EF1C0C" w:rsidP="00EF1C0C">
      <w:r>
        <w:t xml:space="preserve">  </w:t>
      </w:r>
      <w:r w:rsidRPr="00EF1C0C">
        <w:rPr>
          <w:b/>
          <w:bCs/>
        </w:rPr>
        <w:t>2. Coordination of SEND &amp; Provision</w:t>
      </w:r>
    </w:p>
    <w:p w14:paraId="07B03014" w14:textId="77777777" w:rsidR="00EF1C0C" w:rsidRPr="00EF1C0C" w:rsidRDefault="00EF1C0C" w:rsidP="00EF1C0C">
      <w:pPr>
        <w:numPr>
          <w:ilvl w:val="0"/>
          <w:numId w:val="2"/>
        </w:numPr>
      </w:pPr>
      <w:r w:rsidRPr="00EF1C0C">
        <w:t>Maintain an accurate SEND register and robust provision map.</w:t>
      </w:r>
    </w:p>
    <w:p w14:paraId="0D312F55" w14:textId="77777777" w:rsidR="00EF1C0C" w:rsidRPr="00EF1C0C" w:rsidRDefault="00EF1C0C" w:rsidP="00EF1C0C">
      <w:pPr>
        <w:numPr>
          <w:ilvl w:val="0"/>
          <w:numId w:val="2"/>
        </w:numPr>
      </w:pPr>
      <w:r w:rsidRPr="00EF1C0C">
        <w:t>Coordinate the "Graduated Approach" (</w:t>
      </w:r>
      <w:r w:rsidRPr="00EF1C0C">
        <w:rPr>
          <w:i/>
          <w:iCs/>
        </w:rPr>
        <w:t>Assess, Plan, Do, Review</w:t>
      </w:r>
      <w:r w:rsidRPr="00EF1C0C">
        <w:t>) for all children requiring SEN support.</w:t>
      </w:r>
    </w:p>
    <w:p w14:paraId="32F18EF8" w14:textId="6ECBEA81" w:rsidR="00EF1C0C" w:rsidRPr="00EF1C0C" w:rsidRDefault="00EF1C0C" w:rsidP="00EF1C0C">
      <w:pPr>
        <w:numPr>
          <w:ilvl w:val="0"/>
          <w:numId w:val="2"/>
        </w:numPr>
      </w:pPr>
      <w:r w:rsidRPr="00EF1C0C">
        <w:t>Oversee the statutory processes for EHCPs and lead Annual Reviews.</w:t>
      </w:r>
    </w:p>
    <w:p w14:paraId="780697AF" w14:textId="6A556E70" w:rsidR="00EF1C0C" w:rsidRPr="00EF1C0C" w:rsidRDefault="00EF1C0C" w:rsidP="00EF1C0C">
      <w:pPr>
        <w:numPr>
          <w:ilvl w:val="0"/>
          <w:numId w:val="2"/>
        </w:numPr>
      </w:pPr>
      <w:r w:rsidRPr="00EF1C0C">
        <w:lastRenderedPageBreak/>
        <w:t>Analyse whole-school assessment data for vulnerable groups to measure the impact of interventions and accelerate progress.</w:t>
      </w:r>
    </w:p>
    <w:p w14:paraId="2FF5FB61" w14:textId="77777777" w:rsidR="00EF1C0C" w:rsidRPr="00EF1C0C" w:rsidRDefault="00EF1C0C" w:rsidP="00EF1C0C">
      <w:r w:rsidRPr="00EF1C0C">
        <w:rPr>
          <w:b/>
          <w:bCs/>
        </w:rPr>
        <w:t>3. Teaching &amp; Learning</w:t>
      </w:r>
    </w:p>
    <w:p w14:paraId="0AB973CF" w14:textId="78EA0803" w:rsidR="00EF1C0C" w:rsidRPr="00EF1C0C" w:rsidRDefault="00415438" w:rsidP="00EF1C0C">
      <w:pPr>
        <w:numPr>
          <w:ilvl w:val="0"/>
          <w:numId w:val="3"/>
        </w:numPr>
      </w:pPr>
      <w:r>
        <w:t xml:space="preserve">Has experience of modelling </w:t>
      </w:r>
      <w:r w:rsidR="00EF1C0C" w:rsidRPr="00EF1C0C">
        <w:t>excellent classroom practice and support</w:t>
      </w:r>
      <w:r>
        <w:t>ing</w:t>
      </w:r>
      <w:r w:rsidR="00EF1C0C" w:rsidRPr="00EF1C0C">
        <w:t xml:space="preserve"> teachers in making the curriculum accessible to all learners through adaptive teaching.</w:t>
      </w:r>
    </w:p>
    <w:p w14:paraId="079C8F30" w14:textId="77777777" w:rsidR="00EF1C0C" w:rsidRPr="00EF1C0C" w:rsidRDefault="00EF1C0C" w:rsidP="00EF1C0C">
      <w:pPr>
        <w:numPr>
          <w:ilvl w:val="0"/>
          <w:numId w:val="3"/>
        </w:numPr>
      </w:pPr>
      <w:r w:rsidRPr="00EF1C0C">
        <w:t>Identify barriers to learning and design, implement, and evaluate targeted intervention programmes.</w:t>
      </w:r>
    </w:p>
    <w:p w14:paraId="1C2DE6C0" w14:textId="59474184" w:rsidR="00EF1C0C" w:rsidRPr="00EF1C0C" w:rsidRDefault="00EF1C0C" w:rsidP="00EF1C0C">
      <w:pPr>
        <w:numPr>
          <w:ilvl w:val="0"/>
          <w:numId w:val="3"/>
        </w:numPr>
      </w:pPr>
      <w:r w:rsidRPr="00EF1C0C">
        <w:t>Lead high-quality Continuing Professional Development (CPD) and training for teaching staff</w:t>
      </w:r>
      <w:r>
        <w:t>, T</w:t>
      </w:r>
      <w:r w:rsidRPr="00EF1C0C">
        <w:t>eaching Assistants</w:t>
      </w:r>
      <w:r>
        <w:t xml:space="preserve"> (T</w:t>
      </w:r>
      <w:r w:rsidR="00DC69D7">
        <w:t>A</w:t>
      </w:r>
      <w:r>
        <w:t>s) and Learning Support Assistants (LSAs)</w:t>
      </w:r>
      <w:r w:rsidR="00DC69D7">
        <w:t>.</w:t>
      </w:r>
    </w:p>
    <w:p w14:paraId="27FA2413" w14:textId="77777777" w:rsidR="00EF1C0C" w:rsidRPr="00EF1C0C" w:rsidRDefault="00EF1C0C" w:rsidP="00EF1C0C">
      <w:r w:rsidRPr="00EF1C0C">
        <w:rPr>
          <w:b/>
          <w:bCs/>
        </w:rPr>
        <w:t>4. Pastoral Care, Mental Health &amp; Safeguarding</w:t>
      </w:r>
    </w:p>
    <w:p w14:paraId="2EA54B52" w14:textId="77777777" w:rsidR="00EF1C0C" w:rsidRPr="00EF1C0C" w:rsidRDefault="00EF1C0C" w:rsidP="00EF1C0C">
      <w:pPr>
        <w:numPr>
          <w:ilvl w:val="0"/>
          <w:numId w:val="4"/>
        </w:numPr>
      </w:pPr>
      <w:r w:rsidRPr="00EF1C0C">
        <w:t>Champion the mental health and emotional well-being of pupils, liaising with school counsellors, learning mentors, or external mental health services.</w:t>
      </w:r>
    </w:p>
    <w:p w14:paraId="16474DCD" w14:textId="1627FC69" w:rsidR="00EF1C0C" w:rsidRPr="00EF1C0C" w:rsidRDefault="00EF1C0C" w:rsidP="00EF1C0C">
      <w:pPr>
        <w:numPr>
          <w:ilvl w:val="0"/>
          <w:numId w:val="4"/>
        </w:numPr>
      </w:pPr>
      <w:r w:rsidRPr="00EF1C0C">
        <w:t>Lead the monitoring of attendance and behaviour for vulnerable groups, implementing positive support strategies.</w:t>
      </w:r>
    </w:p>
    <w:p w14:paraId="4880701D" w14:textId="77777777" w:rsidR="00EF1C0C" w:rsidRPr="00EF1C0C" w:rsidRDefault="00EF1C0C" w:rsidP="00EF1C0C">
      <w:r w:rsidRPr="00EF1C0C">
        <w:rPr>
          <w:b/>
          <w:bCs/>
        </w:rPr>
        <w:t>5. Partnership with Parents, Carers &amp; External Agencies</w:t>
      </w:r>
    </w:p>
    <w:p w14:paraId="0259DCAF" w14:textId="77777777" w:rsidR="00EF1C0C" w:rsidRPr="00EF1C0C" w:rsidRDefault="00EF1C0C" w:rsidP="00EF1C0C">
      <w:pPr>
        <w:numPr>
          <w:ilvl w:val="0"/>
          <w:numId w:val="5"/>
        </w:numPr>
      </w:pPr>
      <w:r w:rsidRPr="00EF1C0C">
        <w:t>Act as the primary point of contact for external professionals, including Educational Psychologists, Speech and Language Therapists, and Local Authority inclusion teams.</w:t>
      </w:r>
    </w:p>
    <w:p w14:paraId="4C73D860" w14:textId="77777777" w:rsidR="00EF1C0C" w:rsidRPr="00EF1C0C" w:rsidRDefault="00EF1C0C" w:rsidP="00EF1C0C">
      <w:pPr>
        <w:numPr>
          <w:ilvl w:val="0"/>
          <w:numId w:val="5"/>
        </w:numPr>
      </w:pPr>
      <w:r w:rsidRPr="00EF1C0C">
        <w:t>Build trusting, collaborative partnerships with parents/carers, ensuring they are actively involved in decision-making and target setting.</w:t>
      </w:r>
    </w:p>
    <w:p w14:paraId="1340BA90" w14:textId="447FFD09" w:rsidR="00EF1C0C" w:rsidRPr="00EF1C0C" w:rsidRDefault="00EF1C0C" w:rsidP="00EF1C0C">
      <w:pPr>
        <w:numPr>
          <w:ilvl w:val="0"/>
          <w:numId w:val="5"/>
        </w:numPr>
      </w:pPr>
      <w:r w:rsidRPr="00EF1C0C">
        <w:t>Manage smooth transitions for vulnerable pupils (e.g., transitioning to secondary school or between early years key stages).</w:t>
      </w:r>
    </w:p>
    <w:p w14:paraId="3541EF12" w14:textId="77777777" w:rsidR="00EF1C0C" w:rsidRPr="00EF1C0C" w:rsidRDefault="00EF1C0C" w:rsidP="00EF1C0C">
      <w:pPr>
        <w:rPr>
          <w:b/>
          <w:bCs/>
        </w:rPr>
      </w:pPr>
      <w:r w:rsidRPr="00EF1C0C">
        <w:rPr>
          <w:b/>
          <w:bCs/>
        </w:rPr>
        <w:t>Person Specification</w:t>
      </w:r>
    </w:p>
    <w:p w14:paraId="3D7D4754" w14:textId="77777777" w:rsidR="00EF1C0C" w:rsidRPr="00EF1C0C" w:rsidRDefault="00EF1C0C" w:rsidP="00EF1C0C">
      <w:r w:rsidRPr="00EF1C0C">
        <w:rPr>
          <w:b/>
          <w:bCs/>
        </w:rPr>
        <w:t>Qualifications</w:t>
      </w:r>
    </w:p>
    <w:p w14:paraId="0A26276D" w14:textId="77777777" w:rsidR="00EF1C0C" w:rsidRPr="00EF1C0C" w:rsidRDefault="00EF1C0C" w:rsidP="00EF1C0C">
      <w:pPr>
        <w:numPr>
          <w:ilvl w:val="0"/>
          <w:numId w:val="6"/>
        </w:numPr>
      </w:pPr>
      <w:r w:rsidRPr="00EF1C0C">
        <w:t>Qualified Teacher Status (QTS) in the UK.</w:t>
      </w:r>
    </w:p>
    <w:p w14:paraId="74C34621" w14:textId="11793A90" w:rsidR="00EF1C0C" w:rsidRPr="00EF1C0C" w:rsidRDefault="00EF1C0C" w:rsidP="00415438">
      <w:pPr>
        <w:numPr>
          <w:ilvl w:val="0"/>
          <w:numId w:val="6"/>
        </w:numPr>
      </w:pPr>
      <w:r w:rsidRPr="00EF1C0C">
        <w:t>National Award for Special Educational Needs Coordination (</w:t>
      </w:r>
      <w:proofErr w:type="spellStart"/>
      <w:r w:rsidRPr="00EF1C0C">
        <w:t>NASENCo</w:t>
      </w:r>
      <w:proofErr w:type="spellEnd"/>
      <w:r w:rsidRPr="00EF1C0C">
        <w:t>)—</w:t>
      </w:r>
      <w:r w:rsidRPr="00EF1C0C">
        <w:rPr>
          <w:i/>
          <w:iCs/>
        </w:rPr>
        <w:t>or a commitment to undertake the qualification within the first 2 years</w:t>
      </w:r>
      <w:r w:rsidRPr="00EF1C0C">
        <w:t>.</w:t>
      </w:r>
      <w:r w:rsidR="00415438">
        <w:t xml:space="preserve">                                 The school would support the right candidate through this process.</w:t>
      </w:r>
    </w:p>
    <w:p w14:paraId="02664F69" w14:textId="77777777" w:rsidR="00EF1C0C" w:rsidRPr="00EF1C0C" w:rsidRDefault="00EF1C0C" w:rsidP="00EF1C0C">
      <w:r w:rsidRPr="00EF1C0C">
        <w:rPr>
          <w:b/>
          <w:bCs/>
        </w:rPr>
        <w:t>Experience &amp; Knowledge</w:t>
      </w:r>
    </w:p>
    <w:p w14:paraId="2A012685" w14:textId="77777777" w:rsidR="00EF1C0C" w:rsidRPr="00EF1C0C" w:rsidRDefault="00EF1C0C" w:rsidP="00EF1C0C">
      <w:pPr>
        <w:numPr>
          <w:ilvl w:val="0"/>
          <w:numId w:val="7"/>
        </w:numPr>
      </w:pPr>
      <w:r w:rsidRPr="00EF1C0C">
        <w:t>Successful teaching experience across the primary age range.</w:t>
      </w:r>
    </w:p>
    <w:p w14:paraId="092F78B7" w14:textId="77777777" w:rsidR="00EF1C0C" w:rsidRPr="00EF1C0C" w:rsidRDefault="00EF1C0C" w:rsidP="00EF1C0C">
      <w:pPr>
        <w:numPr>
          <w:ilvl w:val="0"/>
          <w:numId w:val="7"/>
        </w:numPr>
      </w:pPr>
      <w:r w:rsidRPr="00EF1C0C">
        <w:lastRenderedPageBreak/>
        <w:t>Deep understanding of the SEND Code of Practice and statutory SEND regulations in England.</w:t>
      </w:r>
    </w:p>
    <w:p w14:paraId="7D36B807" w14:textId="13A6D38F" w:rsidR="00EF1C0C" w:rsidRPr="00EF1C0C" w:rsidRDefault="00EF1C0C" w:rsidP="00EF1C0C">
      <w:pPr>
        <w:numPr>
          <w:ilvl w:val="0"/>
          <w:numId w:val="7"/>
        </w:numPr>
      </w:pPr>
      <w:r w:rsidRPr="00EF1C0C">
        <w:t>Experience working effectively with children with diverse needs, including ASD, SEMH, and complex learning difficulties.</w:t>
      </w:r>
    </w:p>
    <w:p w14:paraId="373EE38C" w14:textId="77777777" w:rsidR="00EF1C0C" w:rsidRPr="00EF1C0C" w:rsidRDefault="00EF1C0C" w:rsidP="00EF1C0C">
      <w:r w:rsidRPr="00EF1C0C">
        <w:rPr>
          <w:b/>
          <w:bCs/>
        </w:rPr>
        <w:t>Skills &amp; Personal Attributes</w:t>
      </w:r>
    </w:p>
    <w:p w14:paraId="02AC4735" w14:textId="77777777" w:rsidR="00EF1C0C" w:rsidRPr="00EF1C0C" w:rsidRDefault="00EF1C0C" w:rsidP="00EF1C0C">
      <w:pPr>
        <w:numPr>
          <w:ilvl w:val="0"/>
          <w:numId w:val="8"/>
        </w:numPr>
      </w:pPr>
      <w:r w:rsidRPr="00EF1C0C">
        <w:t>Excellent communication, empathy, and interpersonal skills for liaising with families and external agencies.</w:t>
      </w:r>
    </w:p>
    <w:p w14:paraId="26346B76" w14:textId="77777777" w:rsidR="00EF1C0C" w:rsidRPr="00EF1C0C" w:rsidRDefault="00EF1C0C" w:rsidP="00EF1C0C">
      <w:pPr>
        <w:numPr>
          <w:ilvl w:val="0"/>
          <w:numId w:val="8"/>
        </w:numPr>
      </w:pPr>
      <w:r w:rsidRPr="00EF1C0C">
        <w:t>Strong organisational skills to manage competing priorities in a one-form entry setting.</w:t>
      </w:r>
    </w:p>
    <w:p w14:paraId="53A397D9" w14:textId="77777777" w:rsidR="00EF1C0C" w:rsidRDefault="00EF1C0C" w:rsidP="00E558E4">
      <w:pPr>
        <w:numPr>
          <w:ilvl w:val="0"/>
          <w:numId w:val="8"/>
        </w:numPr>
      </w:pPr>
      <w:r w:rsidRPr="00EF1C0C">
        <w:t>Resilience and a proactive, solution-focused approach to problem-solving.</w:t>
      </w:r>
    </w:p>
    <w:p w14:paraId="0154D8F0" w14:textId="54C8FAD1" w:rsidR="00EF1C0C" w:rsidRPr="00EF1C0C" w:rsidRDefault="00EF1C0C" w:rsidP="00EF1C0C">
      <w:pPr>
        <w:ind w:left="720"/>
      </w:pPr>
      <w:r>
        <w:rPr>
          <w:i/>
          <w:iCs/>
        </w:rPr>
        <w:t>N</w:t>
      </w:r>
      <w:r w:rsidRPr="00EF1C0C">
        <w:rPr>
          <w:i/>
          <w:iCs/>
        </w:rPr>
        <w:t>ote: As a one-form entry school, this role will likely involve cross-school collaboration and a highly hands-on approach to both leadership and day-to-day pastoral care. Responsibilities are subject to regular review in line with the needs of the school.</w:t>
      </w:r>
      <w:r w:rsidRPr="00EF1C0C">
        <w:t xml:space="preserve"> </w:t>
      </w:r>
    </w:p>
    <w:p w14:paraId="2F131EFE" w14:textId="495AE81F" w:rsidR="00EF1C0C" w:rsidRPr="00EF1C0C" w:rsidRDefault="00EF1C0C" w:rsidP="00EF1C0C"/>
    <w:p w14:paraId="24634907" w14:textId="77777777" w:rsidR="00EF1C0C" w:rsidRDefault="00EF1C0C"/>
    <w:sectPr w:rsidR="00EF1C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4D4"/>
    <w:multiLevelType w:val="multilevel"/>
    <w:tmpl w:val="764CD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9420F"/>
    <w:multiLevelType w:val="multilevel"/>
    <w:tmpl w:val="03AE9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AF7398"/>
    <w:multiLevelType w:val="multilevel"/>
    <w:tmpl w:val="9DC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FA1EFB"/>
    <w:multiLevelType w:val="multilevel"/>
    <w:tmpl w:val="70C2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D3182F"/>
    <w:multiLevelType w:val="multilevel"/>
    <w:tmpl w:val="F4FAC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64E3"/>
    <w:multiLevelType w:val="multilevel"/>
    <w:tmpl w:val="445E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579FD"/>
    <w:multiLevelType w:val="multilevel"/>
    <w:tmpl w:val="875E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837EB7"/>
    <w:multiLevelType w:val="multilevel"/>
    <w:tmpl w:val="2A9A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642AEC"/>
    <w:multiLevelType w:val="multilevel"/>
    <w:tmpl w:val="9E083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244883">
    <w:abstractNumId w:val="6"/>
  </w:num>
  <w:num w:numId="2" w16cid:durableId="288711141">
    <w:abstractNumId w:val="7"/>
  </w:num>
  <w:num w:numId="3" w16cid:durableId="2065594769">
    <w:abstractNumId w:val="1"/>
  </w:num>
  <w:num w:numId="4" w16cid:durableId="1926842640">
    <w:abstractNumId w:val="5"/>
  </w:num>
  <w:num w:numId="5" w16cid:durableId="221867446">
    <w:abstractNumId w:val="4"/>
  </w:num>
  <w:num w:numId="6" w16cid:durableId="1226260065">
    <w:abstractNumId w:val="8"/>
  </w:num>
  <w:num w:numId="7" w16cid:durableId="218395514">
    <w:abstractNumId w:val="0"/>
  </w:num>
  <w:num w:numId="8" w16cid:durableId="1960603290">
    <w:abstractNumId w:val="3"/>
  </w:num>
  <w:num w:numId="9" w16cid:durableId="1593195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C0C"/>
    <w:rsid w:val="00415438"/>
    <w:rsid w:val="007D02C5"/>
    <w:rsid w:val="009C21D1"/>
    <w:rsid w:val="00C855A2"/>
    <w:rsid w:val="00D11963"/>
    <w:rsid w:val="00DC69D7"/>
    <w:rsid w:val="00E8018E"/>
    <w:rsid w:val="00EA316E"/>
    <w:rsid w:val="00EF1C0C"/>
    <w:rsid w:val="00F3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693FF"/>
  <w15:chartTrackingRefBased/>
  <w15:docId w15:val="{6D97223E-5A7C-4338-A047-A9F2EFAAE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C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C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C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C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C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C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C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C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C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C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C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C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C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C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C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C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C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C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C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C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C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C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C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C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C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C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1C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2998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858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900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671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660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2199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306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988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145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2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702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8085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0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326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366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3731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2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573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684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10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897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83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6418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4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464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4092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6726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119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1599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7074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90901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288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13586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3292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6209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7104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47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3460</Characters>
  <Application>Microsoft Office Word</Application>
  <DocSecurity>4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Frazer</dc:creator>
  <cp:keywords/>
  <dc:description/>
  <cp:lastModifiedBy>Jacqueline Munro</cp:lastModifiedBy>
  <cp:revision>2</cp:revision>
  <dcterms:created xsi:type="dcterms:W3CDTF">2026-05-21T16:08:00Z</dcterms:created>
  <dcterms:modified xsi:type="dcterms:W3CDTF">2026-05-21T16:08:00Z</dcterms:modified>
</cp:coreProperties>
</file>