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Theme="minorHAnsi" w:hAnsiTheme="minorHAnsi" w:cstheme="minorHAnsi"/>
          <w:b w:val="0"/>
          <w:bCs/>
          <w:sz w:val="22"/>
          <w:szCs w:val="22"/>
        </w:rPr>
      </w:pPr>
      <w:bookmarkStart w:id="0" w:name="_GoBack"/>
      <w:bookmarkEnd w:id="0"/>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 w:val="0"/>
          <w:bCs/>
          <w:sz w:val="22"/>
          <w:szCs w:val="22"/>
        </w:rPr>
      </w:pPr>
    </w:p>
    <w:p>
      <w:pPr>
        <w:pStyle w:val="Title"/>
        <w:rPr>
          <w:rFonts w:asciiTheme="minorHAnsi" w:hAnsiTheme="minorHAnsi" w:cstheme="minorHAnsi"/>
          <w:bCs/>
          <w:sz w:val="22"/>
          <w:szCs w:val="22"/>
        </w:rPr>
      </w:pPr>
      <w:r>
        <w:rPr>
          <w:rFonts w:asciiTheme="minorHAnsi" w:hAnsiTheme="minorHAnsi" w:cstheme="minorHAnsi"/>
          <w:bCs/>
          <w:sz w:val="22"/>
          <w:szCs w:val="22"/>
        </w:rPr>
        <w:t>SENCO – Permanent Contract</w:t>
      </w:r>
    </w:p>
    <w:p>
      <w:pPr>
        <w:pStyle w:val="Title"/>
        <w:jc w:val="left"/>
        <w:rPr>
          <w:rFonts w:asciiTheme="minorHAnsi" w:hAnsiTheme="minorHAnsi" w:cstheme="minorHAnsi"/>
          <w:b w:val="0"/>
          <w:bCs/>
          <w:sz w:val="22"/>
          <w:szCs w:val="22"/>
        </w:rPr>
      </w:pPr>
    </w:p>
    <w:p>
      <w:pPr>
        <w:pStyle w:val="Title"/>
        <w:jc w:val="both"/>
        <w:rPr>
          <w:rFonts w:asciiTheme="minorHAnsi" w:hAnsiTheme="minorHAnsi" w:cstheme="minorHAnsi"/>
          <w:b w:val="0"/>
          <w:bCs/>
          <w:sz w:val="22"/>
          <w:szCs w:val="22"/>
        </w:rPr>
      </w:pPr>
      <w:r>
        <w:rPr>
          <w:rFonts w:asciiTheme="minorHAnsi" w:hAnsiTheme="minorHAnsi" w:cstheme="minorHAnsi"/>
          <w:bCs/>
          <w:sz w:val="22"/>
          <w:szCs w:val="22"/>
        </w:rPr>
        <w:t>Welcome</w:t>
      </w:r>
    </w:p>
    <w:p>
      <w:pPr>
        <w:pStyle w:val="Title"/>
        <w:jc w:val="both"/>
        <w:rPr>
          <w:rFonts w:asciiTheme="minorHAnsi" w:hAnsiTheme="minorHAnsi" w:cstheme="minorHAnsi"/>
          <w:b w:val="0"/>
          <w:bCs/>
          <w:sz w:val="22"/>
          <w:szCs w:val="22"/>
        </w:rPr>
      </w:pPr>
      <w:r>
        <w:rPr>
          <w:rFonts w:asciiTheme="minorHAnsi" w:hAnsiTheme="minorHAnsi" w:cstheme="minorHAnsi"/>
          <w:b w:val="0"/>
          <w:bCs/>
          <w:sz w:val="22"/>
          <w:szCs w:val="22"/>
        </w:rPr>
        <w:t xml:space="preserve">I would like to thank you for your interest in applying for the above post. You now have the opportunity to join a thriving and very successful SEND department, built upon relationships of mutual respect between students and staff alike. Having had the chance to read our recruitment pack and find out a little bit more about our school and our department, I very much look forward to receiving your application. </w:t>
      </w:r>
    </w:p>
    <w:p>
      <w:pPr>
        <w:pStyle w:val="Title"/>
        <w:jc w:val="both"/>
        <w:rPr>
          <w:rFonts w:asciiTheme="minorHAnsi" w:hAnsiTheme="minorHAnsi" w:cstheme="minorHAnsi"/>
          <w:bCs/>
          <w:sz w:val="22"/>
          <w:szCs w:val="22"/>
        </w:rPr>
      </w:pPr>
    </w:p>
    <w:p>
      <w:pPr>
        <w:pStyle w:val="BodyText"/>
        <w:jc w:val="both"/>
        <w:rPr>
          <w:rFonts w:asciiTheme="minorHAnsi" w:hAnsiTheme="minorHAnsi" w:cstheme="minorHAnsi"/>
          <w:b/>
          <w:bCs/>
          <w:sz w:val="22"/>
          <w:szCs w:val="22"/>
        </w:rPr>
      </w:pPr>
    </w:p>
    <w:p>
      <w:pPr>
        <w:pStyle w:val="BodyText"/>
        <w:jc w:val="both"/>
        <w:rPr>
          <w:rFonts w:asciiTheme="minorHAnsi" w:hAnsiTheme="minorHAnsi" w:cstheme="minorHAnsi"/>
          <w:b/>
          <w:bCs/>
          <w:sz w:val="22"/>
          <w:szCs w:val="22"/>
        </w:rPr>
      </w:pPr>
      <w:r>
        <w:rPr>
          <w:rFonts w:asciiTheme="minorHAnsi" w:hAnsiTheme="minorHAnsi" w:cstheme="minorHAnsi"/>
          <w:b/>
          <w:bCs/>
          <w:sz w:val="22"/>
          <w:szCs w:val="22"/>
        </w:rPr>
        <w:t>Aims, Philosophy and Ethos</w:t>
      </w:r>
    </w:p>
    <w:p>
      <w:pPr>
        <w:pStyle w:val="BodyText"/>
        <w:jc w:val="both"/>
        <w:rPr>
          <w:rFonts w:asciiTheme="minorHAnsi" w:hAnsiTheme="minorHAnsi" w:cstheme="minorHAnsi"/>
          <w:b/>
          <w:bCs/>
          <w:sz w:val="22"/>
          <w:szCs w:val="22"/>
        </w:rPr>
      </w:pPr>
      <w:r>
        <w:rPr>
          <w:rFonts w:asciiTheme="minorHAnsi" w:hAnsiTheme="minorHAnsi" w:cstheme="minorHAnsi"/>
          <w:color w:val="000000"/>
          <w:sz w:val="22"/>
          <w:szCs w:val="22"/>
        </w:rPr>
        <w:t>Bishop Challoner Catholic College believes that students with special educational needs and disability (SEND) should</w:t>
      </w:r>
      <w:r>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rPr>
        <w:t>have their needs addressed in an inclusive environment. They should have access to a broad and balanced</w:t>
      </w:r>
      <w:r>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rPr>
        <w:t>education, including access to the National Curriculum. Students will be enabled to access lifelong learning, allowing</w:t>
      </w:r>
      <w:r>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rPr>
        <w:t xml:space="preserve">them to fulfil their potential as confident, determined and resilient members of society. We adhere to the Equality Act of 2010 and </w:t>
      </w:r>
      <w:r>
        <w:rPr>
          <w:rFonts w:asciiTheme="minorHAnsi" w:hAnsiTheme="minorHAnsi" w:cstheme="minorHAnsi"/>
          <w:color w:val="000000"/>
          <w:sz w:val="22"/>
          <w:szCs w:val="22"/>
          <w:bdr w:val="none" w:sz="0" w:space="0" w:color="auto" w:frame="1"/>
        </w:rPr>
        <w:t>follow the 2014 Code of Practice; our local offer for SEN is outlined in our SEN Information Report on our school website.</w:t>
      </w:r>
    </w:p>
    <w:p>
      <w:pPr>
        <w:pStyle w:val="NormalWeb"/>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shd w:val="clear" w:color="auto" w:fill="FFFFFF"/>
        </w:rPr>
        <w:t>Every member of our team has a true sense of vocation and embraces our core values of care and compassion. In our SEND Department, teamwork and positive relationships are at the heart of our work.</w:t>
      </w:r>
    </w:p>
    <w:p>
      <w:pPr>
        <w:jc w:val="both"/>
        <w:rPr>
          <w:rFonts w:asciiTheme="minorHAnsi" w:hAnsiTheme="minorHAnsi" w:cstheme="minorHAnsi"/>
          <w:sz w:val="22"/>
          <w:szCs w:val="22"/>
        </w:rPr>
      </w:pPr>
      <w:r>
        <w:rPr>
          <w:rFonts w:asciiTheme="minorHAnsi" w:hAnsiTheme="minorHAnsi" w:cstheme="minorHAnsi"/>
          <w:sz w:val="22"/>
          <w:szCs w:val="22"/>
        </w:rPr>
        <w:t xml:space="preserve">All students with SEND are encouraged to take an active role in extra-curricular activities.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In addition, we are very much an outward-facing school, constantly seeking ways to foster and develop strong partnerships with our partner schools and organisations. For example, the SENCO TOLKIEN Cluster of SENCOs from our feeder primary schools meet with us once a term. </w:t>
      </w:r>
    </w:p>
    <w:p>
      <w:pPr>
        <w:pStyle w:val="ListParagraph"/>
        <w:spacing w:after="200" w:line="276" w:lineRule="auto"/>
        <w:ind w:left="0"/>
        <w:contextualSpacing/>
        <w:jc w:val="both"/>
        <w:rPr>
          <w:rFonts w:asciiTheme="minorHAnsi" w:hAnsiTheme="minorHAnsi" w:cstheme="minorHAnsi"/>
          <w:b/>
          <w:bCs/>
          <w:sz w:val="22"/>
          <w:szCs w:val="22"/>
        </w:rPr>
      </w:pPr>
    </w:p>
    <w:p>
      <w:pPr>
        <w:pStyle w:val="ListParagraph"/>
        <w:spacing w:after="200" w:line="276" w:lineRule="auto"/>
        <w:ind w:left="0"/>
        <w:contextualSpacing/>
        <w:jc w:val="both"/>
        <w:rPr>
          <w:rFonts w:asciiTheme="minorHAnsi" w:hAnsiTheme="minorHAnsi" w:cstheme="minorHAnsi"/>
          <w:b/>
          <w:bCs/>
          <w:sz w:val="22"/>
          <w:szCs w:val="22"/>
        </w:rPr>
      </w:pPr>
    </w:p>
    <w:p>
      <w:pPr>
        <w:pStyle w:val="ListParagraph"/>
        <w:spacing w:after="200" w:line="276" w:lineRule="auto"/>
        <w:ind w:left="0"/>
        <w:contextualSpacing/>
        <w:jc w:val="both"/>
        <w:rPr>
          <w:rFonts w:asciiTheme="minorHAnsi" w:hAnsiTheme="minorHAnsi" w:cstheme="minorHAnsi"/>
          <w:b/>
          <w:bCs/>
          <w:sz w:val="22"/>
          <w:szCs w:val="22"/>
        </w:rPr>
      </w:pPr>
      <w:r>
        <w:rPr>
          <w:rFonts w:asciiTheme="minorHAnsi" w:hAnsiTheme="minorHAnsi" w:cstheme="minorHAnsi"/>
          <w:b/>
          <w:bCs/>
          <w:sz w:val="22"/>
          <w:szCs w:val="22"/>
        </w:rPr>
        <w:t>Staffing</w:t>
      </w:r>
    </w:p>
    <w:p>
      <w:pPr>
        <w:pStyle w:val="ListParagraph"/>
        <w:spacing w:after="200" w:line="276" w:lineRule="auto"/>
        <w:ind w:left="0"/>
        <w:contextualSpacing/>
        <w:jc w:val="both"/>
        <w:rPr>
          <w:rFonts w:asciiTheme="minorHAnsi" w:hAnsiTheme="minorHAnsi" w:cstheme="minorHAnsi"/>
          <w:sz w:val="22"/>
          <w:szCs w:val="22"/>
        </w:rPr>
      </w:pPr>
      <w:r>
        <w:rPr>
          <w:rFonts w:asciiTheme="minorHAnsi" w:hAnsiTheme="minorHAnsi" w:cstheme="minorHAnsi"/>
          <w:sz w:val="22"/>
          <w:szCs w:val="22"/>
        </w:rPr>
        <w:t xml:space="preserve">The SEND Department is a thriving team of expert practitioners with a total of 6 staff, including full and part-time members. We have three full-time teaching assistants who are each ‘leads’ in the following areas:  Autism/ASC, Attention Deficit and Hyperactivity Disorder/ADHD, and Speech, Language and Communication Needs/SLCN. We have an Assistant SENCO and a SEND Administrative Support Assistant, who is also our lead for supporting students with Hearing Impairments, Physical and Medical conditions. </w:t>
      </w:r>
    </w:p>
    <w:p>
      <w:pPr>
        <w:pStyle w:val="ListParagraph"/>
        <w:spacing w:after="200" w:line="276" w:lineRule="auto"/>
        <w:ind w:left="0"/>
        <w:contextualSpacing/>
        <w:jc w:val="both"/>
        <w:rPr>
          <w:rFonts w:asciiTheme="minorHAnsi" w:hAnsiTheme="minorHAnsi" w:cstheme="minorHAnsi"/>
          <w:sz w:val="22"/>
          <w:szCs w:val="22"/>
        </w:rPr>
      </w:pPr>
    </w:p>
    <w:p>
      <w:pPr>
        <w:pStyle w:val="ListParagraph"/>
        <w:spacing w:after="200" w:line="276" w:lineRule="auto"/>
        <w:ind w:left="0"/>
        <w:contextualSpacing/>
        <w:jc w:val="both"/>
        <w:rPr>
          <w:rFonts w:asciiTheme="minorHAnsi" w:hAnsiTheme="minorHAnsi" w:cstheme="minorHAnsi"/>
          <w:sz w:val="22"/>
          <w:szCs w:val="22"/>
        </w:rPr>
      </w:pPr>
      <w:r>
        <w:rPr>
          <w:rFonts w:asciiTheme="minorHAnsi" w:hAnsiTheme="minorHAnsi" w:cstheme="minorHAnsi"/>
          <w:sz w:val="22"/>
          <w:szCs w:val="22"/>
        </w:rPr>
        <w:t>The SEND Department works closely with the Well Being Team, Pastoral Team and Safeguarding Team.</w:t>
      </w:r>
    </w:p>
    <w:p>
      <w:pPr>
        <w:pStyle w:val="BodyText"/>
        <w:jc w:val="both"/>
        <w:rPr>
          <w:rFonts w:asciiTheme="minorHAnsi" w:hAnsiTheme="minorHAnsi" w:cstheme="minorHAnsi"/>
          <w:bCs/>
          <w:sz w:val="22"/>
          <w:szCs w:val="22"/>
        </w:rPr>
      </w:pPr>
    </w:p>
    <w:p>
      <w:pPr>
        <w:jc w:val="both"/>
        <w:rPr>
          <w:rFonts w:asciiTheme="minorHAnsi" w:hAnsiTheme="minorHAnsi" w:cstheme="minorHAnsi"/>
          <w:sz w:val="22"/>
          <w:szCs w:val="22"/>
        </w:rPr>
      </w:pP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lastRenderedPageBreak/>
        <w:t xml:space="preserve">In January 2023, an </w:t>
      </w:r>
      <w:r>
        <w:rPr>
          <w:rStyle w:val="markg21pfxq1v"/>
          <w:rFonts w:asciiTheme="minorHAnsi" w:hAnsiTheme="minorHAnsi" w:cstheme="minorHAnsi"/>
          <w:b/>
          <w:bCs/>
          <w:color w:val="000000"/>
          <w:sz w:val="22"/>
          <w:szCs w:val="22"/>
          <w:bdr w:val="none" w:sz="0" w:space="0" w:color="auto" w:frame="1"/>
        </w:rPr>
        <w:t>Accessibility</w:t>
      </w:r>
      <w:r>
        <w:rPr>
          <w:rFonts w:asciiTheme="minorHAnsi" w:hAnsiTheme="minorHAnsi" w:cstheme="minorHAnsi"/>
          <w:b/>
          <w:bCs/>
          <w:color w:val="000000"/>
          <w:sz w:val="22"/>
          <w:szCs w:val="22"/>
          <w:bdr w:val="none" w:sz="0" w:space="0" w:color="auto" w:frame="1"/>
        </w:rPr>
        <w:t xml:space="preserve"> Audit was carried out by ‘Equality Act Audits.’ </w:t>
      </w:r>
    </w:p>
    <w:p>
      <w:pPr>
        <w:pStyle w:val="NormalWeb"/>
        <w:spacing w:before="0" w:beforeAutospacing="0" w:after="0" w:afterAutospacing="0"/>
        <w:jc w:val="both"/>
        <w:rPr>
          <w:rFonts w:asciiTheme="minorHAnsi" w:hAnsiTheme="minorHAnsi" w:cstheme="minorHAnsi"/>
          <w:b/>
          <w:bCs/>
          <w:color w:val="000000"/>
          <w:sz w:val="22"/>
          <w:szCs w:val="22"/>
          <w:bdr w:val="none" w:sz="0" w:space="0" w:color="auto" w:frame="1"/>
        </w:rPr>
      </w:pPr>
    </w:p>
    <w:p>
      <w:pPr>
        <w:pStyle w:val="NormalWeb"/>
        <w:spacing w:before="0" w:beforeAutospacing="0" w:after="0" w:afterAutospacing="0"/>
        <w:jc w:val="both"/>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bdr w:val="none" w:sz="0" w:space="0" w:color="auto" w:frame="1"/>
        </w:rPr>
        <w:t>Highlights from the report include:</w:t>
      </w:r>
    </w:p>
    <w:p>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bdr w:val="none" w:sz="0" w:space="0" w:color="auto" w:frame="1"/>
        </w:rPr>
        <w:t> </w:t>
      </w:r>
    </w:p>
    <w:p>
      <w:pPr>
        <w:pStyle w:val="NormalWeb"/>
        <w:numPr>
          <w:ilvl w:val="0"/>
          <w:numId w:val="25"/>
        </w:numPr>
        <w:spacing w:before="0" w:beforeAutospacing="0" w:after="0" w:afterAutospacing="0"/>
        <w:jc w:val="both"/>
        <w:rPr>
          <w:rFonts w:asciiTheme="minorHAnsi" w:hAnsiTheme="minorHAnsi" w:cstheme="minorHAnsi"/>
          <w:color w:val="000000"/>
          <w:sz w:val="22"/>
          <w:szCs w:val="22"/>
          <w:bdr w:val="none" w:sz="0" w:space="0" w:color="auto" w:frame="1"/>
        </w:rPr>
      </w:pPr>
      <w:r>
        <w:rPr>
          <w:rFonts w:asciiTheme="minorHAnsi" w:hAnsiTheme="minorHAnsi" w:cstheme="minorHAnsi"/>
          <w:i/>
          <w:iCs/>
          <w:color w:val="000000"/>
          <w:sz w:val="22"/>
          <w:szCs w:val="22"/>
          <w:bdr w:val="none" w:sz="0" w:space="0" w:color="auto" w:frame="1"/>
        </w:rPr>
        <w:t>Parents/carers and students can be sure that Bishop Challoner Catholic College is a fully inclusive school which values every member of the school community. They strive always to raise aspirations and attainment of all students in partnership with a range of outside agencies and stakeholders. Their team is established and fully committed to ensuring students are aspirational working to unlock personal potential. </w:t>
      </w:r>
      <w:r>
        <w:rPr>
          <w:rFonts w:asciiTheme="minorHAnsi" w:hAnsiTheme="minorHAnsi" w:cstheme="minorHAnsi"/>
          <w:color w:val="000000"/>
          <w:sz w:val="22"/>
          <w:szCs w:val="22"/>
          <w:bdr w:val="none" w:sz="0" w:space="0" w:color="auto" w:frame="1"/>
        </w:rPr>
        <w:t> </w:t>
      </w:r>
    </w:p>
    <w:p>
      <w:pPr>
        <w:pStyle w:val="NormalWeb"/>
        <w:spacing w:before="0" w:beforeAutospacing="0" w:after="0" w:afterAutospacing="0"/>
        <w:jc w:val="both"/>
        <w:rPr>
          <w:rFonts w:asciiTheme="minorHAnsi" w:hAnsiTheme="minorHAnsi" w:cstheme="minorHAnsi"/>
          <w:color w:val="000000"/>
          <w:sz w:val="22"/>
          <w:szCs w:val="22"/>
        </w:rPr>
      </w:pPr>
    </w:p>
    <w:p>
      <w:pPr>
        <w:pStyle w:val="NormalWeb"/>
        <w:numPr>
          <w:ilvl w:val="0"/>
          <w:numId w:val="2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i/>
          <w:iCs/>
          <w:color w:val="000000"/>
          <w:sz w:val="22"/>
          <w:szCs w:val="22"/>
          <w:bdr w:val="none" w:sz="0" w:space="0" w:color="auto" w:frame="1"/>
        </w:rPr>
        <w:t xml:space="preserve">Bishop Challoner Catholic College is committed to safeguarding and promoting the welfare and well-being of children, young people and staff. They believe that everyone, without exception, has a right to be safe and to be treated with dignity and respect regardless of background and free from discrimination. The school </w:t>
      </w:r>
      <w:proofErr w:type="spellStart"/>
      <w:r>
        <w:rPr>
          <w:rFonts w:asciiTheme="minorHAnsi" w:hAnsiTheme="minorHAnsi" w:cstheme="minorHAnsi"/>
          <w:i/>
          <w:iCs/>
          <w:color w:val="000000"/>
          <w:sz w:val="22"/>
          <w:szCs w:val="22"/>
          <w:bdr w:val="none" w:sz="0" w:space="0" w:color="auto" w:frame="1"/>
        </w:rPr>
        <w:t>recognises</w:t>
      </w:r>
      <w:proofErr w:type="spellEnd"/>
      <w:r>
        <w:rPr>
          <w:rFonts w:asciiTheme="minorHAnsi" w:hAnsiTheme="minorHAnsi" w:cstheme="minorHAnsi"/>
          <w:i/>
          <w:iCs/>
          <w:color w:val="000000"/>
          <w:sz w:val="22"/>
          <w:szCs w:val="22"/>
          <w:bdr w:val="none" w:sz="0" w:space="0" w:color="auto" w:frame="1"/>
        </w:rPr>
        <w:t xml:space="preserve"> that children learn best when they are healthy, safe and secure. </w:t>
      </w:r>
      <w:r>
        <w:rPr>
          <w:rFonts w:asciiTheme="minorHAnsi" w:hAnsiTheme="minorHAnsi" w:cstheme="minorHAnsi"/>
          <w:color w:val="000000"/>
          <w:sz w:val="22"/>
          <w:szCs w:val="22"/>
          <w:bdr w:val="none" w:sz="0" w:space="0" w:color="auto" w:frame="1"/>
        </w:rPr>
        <w:t> </w:t>
      </w:r>
    </w:p>
    <w:p>
      <w:pPr>
        <w:pStyle w:val="paragraph"/>
        <w:spacing w:before="0" w:beforeAutospacing="0" w:after="0" w:afterAutospacing="0"/>
        <w:jc w:val="both"/>
        <w:textAlignment w:val="baseline"/>
        <w:rPr>
          <w:rFonts w:asciiTheme="minorHAnsi" w:hAnsiTheme="minorHAnsi" w:cstheme="minorHAnsi"/>
          <w:bCs/>
          <w:sz w:val="22"/>
          <w:szCs w:val="22"/>
        </w:rPr>
      </w:pPr>
    </w:p>
    <w:p>
      <w:pPr>
        <w:pStyle w:val="paragraph"/>
        <w:spacing w:before="0" w:beforeAutospacing="0" w:after="0" w:afterAutospacing="0"/>
        <w:jc w:val="both"/>
        <w:textAlignment w:val="baseline"/>
        <w:rPr>
          <w:rFonts w:asciiTheme="minorHAnsi" w:hAnsiTheme="minorHAnsi" w:cstheme="minorHAnsi"/>
          <w:b/>
          <w:sz w:val="22"/>
          <w:szCs w:val="22"/>
        </w:rPr>
      </w:pPr>
      <w:r>
        <w:rPr>
          <w:rFonts w:asciiTheme="minorHAnsi" w:hAnsiTheme="minorHAnsi" w:cstheme="minorHAnsi"/>
          <w:b/>
          <w:sz w:val="22"/>
          <w:szCs w:val="22"/>
        </w:rPr>
        <w:t>In October 2022 we hosted an external SEND Review. The review was extremely positive. Here are just a few of the many strengths highlighted:</w:t>
      </w:r>
    </w:p>
    <w:p>
      <w:pPr>
        <w:pStyle w:val="paragraph"/>
        <w:spacing w:before="0" w:beforeAutospacing="0" w:after="0" w:afterAutospacing="0"/>
        <w:jc w:val="both"/>
        <w:textAlignment w:val="baseline"/>
        <w:rPr>
          <w:rFonts w:asciiTheme="minorHAnsi" w:hAnsiTheme="minorHAnsi" w:cstheme="minorHAnsi"/>
          <w:bCs/>
          <w:sz w:val="22"/>
          <w:szCs w:val="22"/>
        </w:rPr>
      </w:pPr>
    </w:p>
    <w:p>
      <w:pPr>
        <w:pStyle w:val="ListParagraph"/>
        <w:numPr>
          <w:ilvl w:val="0"/>
          <w:numId w:val="26"/>
        </w:numPr>
        <w:spacing w:after="200" w:line="276" w:lineRule="auto"/>
        <w:contextualSpacing/>
        <w:jc w:val="both"/>
        <w:rPr>
          <w:rFonts w:asciiTheme="minorHAnsi" w:hAnsiTheme="minorHAnsi" w:cstheme="minorHAnsi"/>
          <w:bCs/>
          <w:i/>
          <w:iCs/>
          <w:sz w:val="22"/>
          <w:szCs w:val="22"/>
        </w:rPr>
      </w:pPr>
      <w:r>
        <w:rPr>
          <w:rFonts w:asciiTheme="minorHAnsi" w:hAnsiTheme="minorHAnsi" w:cstheme="minorHAnsi"/>
          <w:bCs/>
          <w:i/>
          <w:iCs/>
          <w:sz w:val="22"/>
          <w:szCs w:val="22"/>
        </w:rPr>
        <w:t>The school has a vision of equality of opportunity for all students with SEND.  Learners are afforded equal to access to quality curriculum pathways, including in the core curriculum.</w:t>
      </w:r>
    </w:p>
    <w:p>
      <w:pPr>
        <w:pStyle w:val="ListParagraph"/>
        <w:spacing w:after="200" w:line="276" w:lineRule="auto"/>
        <w:contextualSpacing/>
        <w:jc w:val="both"/>
        <w:rPr>
          <w:rFonts w:asciiTheme="minorHAnsi" w:hAnsiTheme="minorHAnsi" w:cstheme="minorHAnsi"/>
          <w:bCs/>
          <w:i/>
          <w:iCs/>
          <w:sz w:val="22"/>
          <w:szCs w:val="22"/>
        </w:rPr>
      </w:pPr>
    </w:p>
    <w:p>
      <w:pPr>
        <w:pStyle w:val="ListParagraph"/>
        <w:numPr>
          <w:ilvl w:val="0"/>
          <w:numId w:val="26"/>
        </w:numPr>
        <w:spacing w:after="200" w:line="276" w:lineRule="auto"/>
        <w:contextualSpacing/>
        <w:jc w:val="both"/>
        <w:rPr>
          <w:rFonts w:asciiTheme="minorHAnsi" w:hAnsiTheme="minorHAnsi" w:cstheme="minorHAnsi"/>
          <w:bCs/>
          <w:i/>
          <w:iCs/>
          <w:sz w:val="22"/>
          <w:szCs w:val="22"/>
        </w:rPr>
      </w:pPr>
      <w:r>
        <w:rPr>
          <w:rFonts w:asciiTheme="minorHAnsi" w:hAnsiTheme="minorHAnsi" w:cstheme="minorHAnsi"/>
          <w:bCs/>
          <w:i/>
          <w:iCs/>
          <w:sz w:val="22"/>
          <w:szCs w:val="22"/>
        </w:rPr>
        <w:t>The leadership of SEND is a strength. There are strategic approaches embedded in the leadership of SEND at all levels.</w:t>
      </w:r>
    </w:p>
    <w:p>
      <w:pPr>
        <w:pStyle w:val="ListParagraph"/>
        <w:jc w:val="both"/>
        <w:rPr>
          <w:rFonts w:asciiTheme="minorHAnsi" w:hAnsiTheme="minorHAnsi" w:cstheme="minorHAnsi"/>
          <w:bCs/>
          <w:i/>
          <w:iCs/>
          <w:sz w:val="22"/>
          <w:szCs w:val="22"/>
        </w:rPr>
      </w:pPr>
    </w:p>
    <w:p>
      <w:pPr>
        <w:pStyle w:val="ListParagraph"/>
        <w:numPr>
          <w:ilvl w:val="0"/>
          <w:numId w:val="26"/>
        </w:numPr>
        <w:spacing w:after="200" w:line="276" w:lineRule="auto"/>
        <w:contextualSpacing/>
        <w:jc w:val="both"/>
        <w:rPr>
          <w:rFonts w:asciiTheme="minorHAnsi" w:hAnsiTheme="minorHAnsi" w:cstheme="minorHAnsi"/>
          <w:bCs/>
          <w:i/>
          <w:iCs/>
          <w:sz w:val="22"/>
          <w:szCs w:val="22"/>
        </w:rPr>
      </w:pPr>
      <w:r>
        <w:rPr>
          <w:rFonts w:asciiTheme="minorHAnsi" w:hAnsiTheme="minorHAnsi" w:cstheme="minorHAnsi"/>
          <w:bCs/>
          <w:i/>
          <w:iCs/>
          <w:sz w:val="22"/>
          <w:szCs w:val="22"/>
        </w:rPr>
        <w:t xml:space="preserve">Policy and processes for SEND are cohesive across all levels of the school. SEND has a high profile e.g. standing item on </w:t>
      </w:r>
      <w:proofErr w:type="spellStart"/>
      <w:r>
        <w:rPr>
          <w:rFonts w:asciiTheme="minorHAnsi" w:hAnsiTheme="minorHAnsi" w:cstheme="minorHAnsi"/>
          <w:bCs/>
          <w:i/>
          <w:iCs/>
          <w:sz w:val="22"/>
          <w:szCs w:val="22"/>
        </w:rPr>
        <w:t>HoDs</w:t>
      </w:r>
      <w:proofErr w:type="spellEnd"/>
      <w:r>
        <w:rPr>
          <w:rFonts w:asciiTheme="minorHAnsi" w:hAnsiTheme="minorHAnsi" w:cstheme="minorHAnsi"/>
          <w:bCs/>
          <w:i/>
          <w:iCs/>
          <w:sz w:val="22"/>
          <w:szCs w:val="22"/>
        </w:rPr>
        <w:t>’ departmental agendas and SLT meetings with the SENCO.</w:t>
      </w:r>
    </w:p>
    <w:p>
      <w:pPr>
        <w:jc w:val="both"/>
        <w:rPr>
          <w:rFonts w:asciiTheme="minorHAnsi" w:hAnsiTheme="minorHAnsi" w:cstheme="minorHAnsi"/>
          <w:bCs/>
          <w:sz w:val="22"/>
          <w:szCs w:val="22"/>
        </w:rPr>
      </w:pPr>
    </w:p>
    <w:p>
      <w:pPr>
        <w:pStyle w:val="ListParagraph"/>
        <w:numPr>
          <w:ilvl w:val="0"/>
          <w:numId w:val="26"/>
        </w:numPr>
        <w:jc w:val="both"/>
        <w:rPr>
          <w:rFonts w:asciiTheme="minorHAnsi" w:hAnsiTheme="minorHAnsi" w:cstheme="minorHAnsi"/>
          <w:bCs/>
          <w:i/>
          <w:iCs/>
          <w:sz w:val="22"/>
          <w:szCs w:val="22"/>
        </w:rPr>
      </w:pPr>
      <w:r>
        <w:rPr>
          <w:rFonts w:asciiTheme="minorHAnsi" w:hAnsiTheme="minorHAnsi" w:cstheme="minorHAnsi"/>
          <w:bCs/>
          <w:i/>
          <w:iCs/>
          <w:sz w:val="22"/>
          <w:szCs w:val="22"/>
        </w:rPr>
        <w:t>The school has developed a cohesive, integral approach to SEND at all levels in the school. It is responsive to need and founds this response in its Catholic value-system: to ensure quality for all.</w:t>
      </w:r>
    </w:p>
    <w:p>
      <w:pPr>
        <w:jc w:val="both"/>
        <w:rPr>
          <w:rFonts w:asciiTheme="minorHAnsi" w:hAnsiTheme="minorHAnsi" w:cstheme="minorHAnsi"/>
          <w:bCs/>
          <w:i/>
          <w:iCs/>
          <w:sz w:val="22"/>
          <w:szCs w:val="22"/>
        </w:rPr>
      </w:pPr>
    </w:p>
    <w:p>
      <w:pPr>
        <w:pStyle w:val="ListParagraph"/>
        <w:numPr>
          <w:ilvl w:val="0"/>
          <w:numId w:val="26"/>
        </w:numPr>
        <w:jc w:val="both"/>
        <w:rPr>
          <w:rFonts w:asciiTheme="minorHAnsi" w:hAnsiTheme="minorHAnsi" w:cstheme="minorHAnsi"/>
          <w:bCs/>
          <w:i/>
          <w:iCs/>
          <w:sz w:val="22"/>
          <w:szCs w:val="22"/>
        </w:rPr>
      </w:pPr>
      <w:r>
        <w:rPr>
          <w:rFonts w:asciiTheme="minorHAnsi" w:hAnsiTheme="minorHAnsi" w:cstheme="minorHAnsi"/>
          <w:bCs/>
          <w:i/>
          <w:iCs/>
          <w:sz w:val="22"/>
          <w:szCs w:val="22"/>
        </w:rPr>
        <w:t>The SEND team and the wider team is caring in its approach to meeting the needs of SEND students.</w:t>
      </w:r>
    </w:p>
    <w:p>
      <w:pPr>
        <w:pStyle w:val="paragraph"/>
        <w:spacing w:before="0" w:beforeAutospacing="0" w:after="0" w:afterAutospacing="0"/>
        <w:jc w:val="both"/>
        <w:textAlignment w:val="baseline"/>
        <w:rPr>
          <w:rFonts w:asciiTheme="minorHAnsi" w:hAnsiTheme="minorHAnsi" w:cstheme="minorHAnsi"/>
          <w:bCs/>
          <w:sz w:val="22"/>
          <w:szCs w:val="22"/>
        </w:rPr>
      </w:pPr>
    </w:p>
    <w:p>
      <w:pPr>
        <w:jc w:val="both"/>
        <w:rPr>
          <w:rFonts w:asciiTheme="minorHAnsi" w:hAnsiTheme="minorHAnsi" w:cstheme="minorHAnsi"/>
          <w:b/>
          <w:sz w:val="22"/>
          <w:szCs w:val="22"/>
        </w:rPr>
      </w:pPr>
    </w:p>
    <w:p>
      <w:pPr>
        <w:jc w:val="both"/>
        <w:rPr>
          <w:rFonts w:asciiTheme="minorHAnsi" w:hAnsiTheme="minorHAnsi" w:cstheme="minorHAnsi"/>
          <w:b/>
          <w:sz w:val="22"/>
          <w:szCs w:val="22"/>
        </w:rPr>
      </w:pPr>
      <w:r>
        <w:rPr>
          <w:rFonts w:asciiTheme="minorHAnsi" w:hAnsiTheme="minorHAnsi" w:cstheme="minorHAnsi"/>
          <w:b/>
          <w:sz w:val="22"/>
          <w:szCs w:val="22"/>
        </w:rPr>
        <w:t xml:space="preserve">The school had a section 8 Ofsted inspection in October 2021 and SEND was judged to be “well led”:  </w:t>
      </w:r>
    </w:p>
    <w:p>
      <w:pPr>
        <w:jc w:val="both"/>
        <w:rPr>
          <w:rFonts w:asciiTheme="minorHAnsi" w:hAnsiTheme="minorHAnsi" w:cstheme="minorHAnsi"/>
          <w:b/>
          <w:sz w:val="22"/>
          <w:szCs w:val="22"/>
        </w:rPr>
      </w:pPr>
    </w:p>
    <w:p>
      <w:pPr>
        <w:pStyle w:val="paragraph"/>
        <w:numPr>
          <w:ilvl w:val="0"/>
          <w:numId w:val="27"/>
        </w:numPr>
        <w:spacing w:before="0" w:beforeAutospacing="0" w:after="0" w:afterAutospacing="0"/>
        <w:jc w:val="both"/>
        <w:textAlignment w:val="baseline"/>
        <w:rPr>
          <w:rFonts w:asciiTheme="minorHAnsi" w:hAnsiTheme="minorHAnsi" w:cstheme="minorHAnsi"/>
          <w:bCs/>
          <w:i/>
          <w:iCs/>
          <w:sz w:val="22"/>
          <w:szCs w:val="22"/>
        </w:rPr>
      </w:pPr>
      <w:r>
        <w:rPr>
          <w:rFonts w:asciiTheme="minorHAnsi" w:hAnsiTheme="minorHAnsi" w:cstheme="minorHAnsi"/>
          <w:i/>
          <w:iCs/>
          <w:sz w:val="22"/>
          <w:szCs w:val="22"/>
        </w:rPr>
        <w:t>Staff support pupils with special educational needs and/or disabilities well in school. Leaders provide teachers with clear information about pupils’ needs. Teachers use this information effectively to plan pupils’ learning. These pupils achieve well as a result.</w:t>
      </w:r>
    </w:p>
    <w:p>
      <w:pPr>
        <w:pStyle w:val="paragraph"/>
        <w:spacing w:before="0" w:beforeAutospacing="0" w:after="0" w:afterAutospacing="0"/>
        <w:jc w:val="both"/>
        <w:textAlignment w:val="baseline"/>
        <w:rPr>
          <w:rFonts w:asciiTheme="minorHAnsi" w:hAnsiTheme="minorHAnsi" w:cstheme="minorHAnsi"/>
          <w:bCs/>
          <w:sz w:val="22"/>
          <w:szCs w:val="22"/>
        </w:rPr>
      </w:pPr>
    </w:p>
    <w:p>
      <w:pPr>
        <w:jc w:val="both"/>
        <w:rPr>
          <w:rFonts w:asciiTheme="minorHAnsi" w:hAnsiTheme="minorHAnsi" w:cstheme="minorHAnsi"/>
          <w:bCs/>
          <w:sz w:val="22"/>
          <w:szCs w:val="22"/>
        </w:rPr>
      </w:pPr>
    </w:p>
    <w:p>
      <w:pPr>
        <w:pStyle w:val="paragraph"/>
        <w:spacing w:before="0" w:beforeAutospacing="0" w:after="0" w:afterAutospacing="0"/>
        <w:jc w:val="both"/>
        <w:textAlignment w:val="baseline"/>
        <w:rPr>
          <w:rFonts w:asciiTheme="minorHAnsi" w:hAnsiTheme="minorHAnsi" w:cstheme="minorHAnsi"/>
          <w:bCs/>
          <w:sz w:val="22"/>
          <w:szCs w:val="22"/>
        </w:rPr>
      </w:pPr>
    </w:p>
    <w:p>
      <w:pPr>
        <w:pStyle w:val="paragraph"/>
        <w:spacing w:before="0" w:beforeAutospacing="0" w:after="0" w:afterAutospacing="0"/>
        <w:jc w:val="both"/>
        <w:textAlignment w:val="baseline"/>
        <w:rPr>
          <w:rFonts w:asciiTheme="minorHAnsi" w:hAnsiTheme="minorHAnsi" w:cstheme="minorHAnsi"/>
          <w:bCs/>
          <w:sz w:val="22"/>
          <w:szCs w:val="22"/>
        </w:rPr>
      </w:pPr>
      <w:r>
        <w:rPr>
          <w:rFonts w:asciiTheme="minorHAnsi" w:hAnsiTheme="minorHAnsi" w:cstheme="minorHAnsi"/>
          <w:bCs/>
          <w:sz w:val="22"/>
          <w:szCs w:val="22"/>
        </w:rPr>
        <w:t>Hopefully, this gives you a clear insight into strengths and nature of this thriving department.</w:t>
      </w:r>
    </w:p>
    <w:p>
      <w:pPr>
        <w:pStyle w:val="BodyText"/>
        <w:jc w:val="both"/>
        <w:rPr>
          <w:rFonts w:asciiTheme="minorHAnsi" w:hAnsiTheme="minorHAnsi" w:cstheme="minorHAnsi"/>
          <w:bCs/>
          <w:sz w:val="22"/>
          <w:szCs w:val="22"/>
        </w:rPr>
      </w:pPr>
    </w:p>
    <w:p>
      <w:pPr>
        <w:pStyle w:val="BodyText"/>
        <w:jc w:val="both"/>
        <w:rPr>
          <w:rFonts w:asciiTheme="minorHAnsi" w:hAnsiTheme="minorHAnsi" w:cstheme="minorHAnsi"/>
          <w:bCs/>
          <w:sz w:val="22"/>
          <w:szCs w:val="22"/>
        </w:rPr>
      </w:pPr>
      <w:r>
        <w:rPr>
          <w:rFonts w:asciiTheme="minorHAnsi" w:hAnsiTheme="minorHAnsi" w:cstheme="minorHAnsi"/>
          <w:bCs/>
          <w:sz w:val="22"/>
          <w:szCs w:val="22"/>
        </w:rPr>
        <w:t>Best wishes and I look forward to receiving your application,</w:t>
      </w:r>
    </w:p>
    <w:p>
      <w:pPr>
        <w:pStyle w:val="BodyText"/>
        <w:jc w:val="both"/>
        <w:rPr>
          <w:rFonts w:asciiTheme="minorHAnsi" w:hAnsiTheme="minorHAnsi" w:cstheme="minorHAnsi"/>
          <w:bCs/>
          <w:sz w:val="22"/>
          <w:szCs w:val="22"/>
        </w:rPr>
      </w:pPr>
    </w:p>
    <w:p>
      <w:pPr>
        <w:pStyle w:val="BodyText"/>
        <w:jc w:val="both"/>
        <w:rPr>
          <w:rFonts w:asciiTheme="minorHAnsi" w:hAnsiTheme="minorHAnsi" w:cstheme="minorHAnsi"/>
          <w:bCs/>
          <w:sz w:val="22"/>
          <w:szCs w:val="22"/>
        </w:rPr>
      </w:pPr>
    </w:p>
    <w:p>
      <w:pPr>
        <w:pStyle w:val="BodyText"/>
        <w:jc w:val="both"/>
        <w:rPr>
          <w:rFonts w:asciiTheme="minorHAnsi" w:hAnsiTheme="minorHAnsi" w:cstheme="minorHAnsi"/>
          <w:bCs/>
          <w:sz w:val="22"/>
          <w:szCs w:val="22"/>
        </w:rPr>
      </w:pPr>
      <w:r>
        <w:rPr>
          <w:rFonts w:asciiTheme="minorHAnsi" w:hAnsiTheme="minorHAnsi" w:cstheme="minorHAnsi"/>
          <w:bCs/>
          <w:sz w:val="22"/>
          <w:szCs w:val="22"/>
        </w:rPr>
        <w:t>Lucy Choudhury</w:t>
      </w:r>
    </w:p>
    <w:p>
      <w:pPr>
        <w:pStyle w:val="BodyText"/>
        <w:jc w:val="both"/>
        <w:rPr>
          <w:rFonts w:asciiTheme="minorHAnsi" w:hAnsiTheme="minorHAnsi" w:cstheme="minorHAnsi"/>
          <w:bCs/>
          <w:sz w:val="22"/>
          <w:szCs w:val="22"/>
        </w:rPr>
      </w:pPr>
      <w:r>
        <w:rPr>
          <w:rFonts w:asciiTheme="minorHAnsi" w:hAnsiTheme="minorHAnsi" w:cstheme="minorHAnsi"/>
          <w:bCs/>
          <w:sz w:val="22"/>
          <w:szCs w:val="22"/>
        </w:rPr>
        <w:t>Assistant Principal</w:t>
      </w:r>
    </w:p>
    <w:p>
      <w:pPr>
        <w:pStyle w:val="BodyText"/>
        <w:jc w:val="both"/>
        <w:rPr>
          <w:rFonts w:asciiTheme="minorHAnsi" w:hAnsiTheme="minorHAnsi" w:cstheme="minorHAnsi"/>
          <w:bCs/>
          <w:sz w:val="22"/>
          <w:szCs w:val="22"/>
        </w:rPr>
      </w:pPr>
    </w:p>
    <w:p>
      <w:pPr>
        <w:pStyle w:val="BodyText"/>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l.choudhury@bishopchalloner.bham.sch.uk</w:t>
      </w:r>
    </w:p>
    <w:p>
      <w:pPr>
        <w:pStyle w:val="Title"/>
        <w:jc w:val="both"/>
        <w:rPr>
          <w:rFonts w:asciiTheme="minorHAnsi" w:hAnsiTheme="minorHAnsi" w:cstheme="minorHAnsi"/>
          <w:bCs/>
          <w:sz w:val="22"/>
          <w:szCs w:val="22"/>
          <w:u w:val="single"/>
        </w:rPr>
      </w:pPr>
    </w:p>
    <w:sectPr>
      <w:headerReference w:type="default" r:id="rId10"/>
      <w:footerReference w:type="even" r:id="rId11"/>
      <w:footerReference w:type="default" r:id="rId12"/>
      <w:headerReference w:type="first" r:id="rId13"/>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5B"/>
    <w:multiLevelType w:val="multilevel"/>
    <w:tmpl w:val="BBF2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0E3B"/>
    <w:multiLevelType w:val="hybridMultilevel"/>
    <w:tmpl w:val="54DC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86B0A"/>
    <w:multiLevelType w:val="hybridMultilevel"/>
    <w:tmpl w:val="3F38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F68A8"/>
    <w:multiLevelType w:val="hybridMultilevel"/>
    <w:tmpl w:val="661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FC51B4"/>
    <w:multiLevelType w:val="hybridMultilevel"/>
    <w:tmpl w:val="36329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45C3F"/>
    <w:multiLevelType w:val="hybridMultilevel"/>
    <w:tmpl w:val="4476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1369C"/>
    <w:multiLevelType w:val="hybridMultilevel"/>
    <w:tmpl w:val="776E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0460C"/>
    <w:multiLevelType w:val="hybridMultilevel"/>
    <w:tmpl w:val="0896C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77347"/>
    <w:multiLevelType w:val="multilevel"/>
    <w:tmpl w:val="81F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
  </w:num>
  <w:num w:numId="4">
    <w:abstractNumId w:val="7"/>
  </w:num>
  <w:num w:numId="5">
    <w:abstractNumId w:val="9"/>
  </w:num>
  <w:num w:numId="6">
    <w:abstractNumId w:val="10"/>
  </w:num>
  <w:num w:numId="7">
    <w:abstractNumId w:val="20"/>
  </w:num>
  <w:num w:numId="8">
    <w:abstractNumId w:val="19"/>
  </w:num>
  <w:num w:numId="9">
    <w:abstractNumId w:val="23"/>
  </w:num>
  <w:num w:numId="10">
    <w:abstractNumId w:val="25"/>
  </w:num>
  <w:num w:numId="11">
    <w:abstractNumId w:val="6"/>
  </w:num>
  <w:num w:numId="12">
    <w:abstractNumId w:val="26"/>
  </w:num>
  <w:num w:numId="13">
    <w:abstractNumId w:val="12"/>
  </w:num>
  <w:num w:numId="14">
    <w:abstractNumId w:val="22"/>
  </w:num>
  <w:num w:numId="15">
    <w:abstractNumId w:val="5"/>
  </w:num>
  <w:num w:numId="16">
    <w:abstractNumId w:val="14"/>
  </w:num>
  <w:num w:numId="17">
    <w:abstractNumId w:val="15"/>
  </w:num>
  <w:num w:numId="18">
    <w:abstractNumId w:val="17"/>
  </w:num>
  <w:num w:numId="19">
    <w:abstractNumId w:val="16"/>
  </w:num>
  <w:num w:numId="20">
    <w:abstractNumId w:val="0"/>
  </w:num>
  <w:num w:numId="21">
    <w:abstractNumId w:val="21"/>
  </w:num>
  <w:num w:numId="22">
    <w:abstractNumId w:val="18"/>
  </w:num>
  <w:num w:numId="23">
    <w:abstractNumId w:val="11"/>
  </w:num>
  <w:num w:numId="24">
    <w:abstractNumId w:val="8"/>
  </w:num>
  <w:num w:numId="25">
    <w:abstractNumId w:val="1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32BE9B-89F4-4230-80D1-EA70D426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 w:type="paragraph" w:customStyle="1" w:styleId="paragraph">
    <w:name w:val="paragraph"/>
    <w:basedOn w:val="Normal"/>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markg21pfxq1v">
    <w:name w:val="markg21pfxq1v"/>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 w:id="40399405">
      <w:bodyDiv w:val="1"/>
      <w:marLeft w:val="0"/>
      <w:marRight w:val="0"/>
      <w:marTop w:val="0"/>
      <w:marBottom w:val="0"/>
      <w:divBdr>
        <w:top w:val="none" w:sz="0" w:space="0" w:color="auto"/>
        <w:left w:val="none" w:sz="0" w:space="0" w:color="auto"/>
        <w:bottom w:val="none" w:sz="0" w:space="0" w:color="auto"/>
        <w:right w:val="none" w:sz="0" w:space="0" w:color="auto"/>
      </w:divBdr>
    </w:div>
    <w:div w:id="283267312">
      <w:bodyDiv w:val="1"/>
      <w:marLeft w:val="0"/>
      <w:marRight w:val="0"/>
      <w:marTop w:val="0"/>
      <w:marBottom w:val="0"/>
      <w:divBdr>
        <w:top w:val="none" w:sz="0" w:space="0" w:color="auto"/>
        <w:left w:val="none" w:sz="0" w:space="0" w:color="auto"/>
        <w:bottom w:val="none" w:sz="0" w:space="0" w:color="auto"/>
        <w:right w:val="none" w:sz="0" w:space="0" w:color="auto"/>
      </w:divBdr>
    </w:div>
    <w:div w:id="1051343808">
      <w:bodyDiv w:val="1"/>
      <w:marLeft w:val="0"/>
      <w:marRight w:val="0"/>
      <w:marTop w:val="0"/>
      <w:marBottom w:val="0"/>
      <w:divBdr>
        <w:top w:val="none" w:sz="0" w:space="0" w:color="auto"/>
        <w:left w:val="none" w:sz="0" w:space="0" w:color="auto"/>
        <w:bottom w:val="none" w:sz="0" w:space="0" w:color="auto"/>
        <w:right w:val="none" w:sz="0" w:space="0" w:color="auto"/>
      </w:divBdr>
    </w:div>
    <w:div w:id="1082677778">
      <w:bodyDiv w:val="1"/>
      <w:marLeft w:val="0"/>
      <w:marRight w:val="0"/>
      <w:marTop w:val="0"/>
      <w:marBottom w:val="0"/>
      <w:divBdr>
        <w:top w:val="none" w:sz="0" w:space="0" w:color="auto"/>
        <w:left w:val="none" w:sz="0" w:space="0" w:color="auto"/>
        <w:bottom w:val="none" w:sz="0" w:space="0" w:color="auto"/>
        <w:right w:val="none" w:sz="0" w:space="0" w:color="auto"/>
      </w:divBdr>
    </w:div>
    <w:div w:id="1561137142">
      <w:bodyDiv w:val="1"/>
      <w:marLeft w:val="0"/>
      <w:marRight w:val="0"/>
      <w:marTop w:val="0"/>
      <w:marBottom w:val="0"/>
      <w:divBdr>
        <w:top w:val="none" w:sz="0" w:space="0" w:color="auto"/>
        <w:left w:val="none" w:sz="0" w:space="0" w:color="auto"/>
        <w:bottom w:val="none" w:sz="0" w:space="0" w:color="auto"/>
        <w:right w:val="none" w:sz="0" w:space="0" w:color="auto"/>
      </w:divBdr>
    </w:div>
    <w:div w:id="2116095608">
      <w:bodyDiv w:val="1"/>
      <w:marLeft w:val="0"/>
      <w:marRight w:val="0"/>
      <w:marTop w:val="0"/>
      <w:marBottom w:val="0"/>
      <w:divBdr>
        <w:top w:val="none" w:sz="0" w:space="0" w:color="auto"/>
        <w:left w:val="none" w:sz="0" w:space="0" w:color="auto"/>
        <w:bottom w:val="none" w:sz="0" w:space="0" w:color="auto"/>
        <w:right w:val="none" w:sz="0" w:space="0" w:color="auto"/>
      </w:divBdr>
      <w:divsChild>
        <w:div w:id="858203915">
          <w:marLeft w:val="0"/>
          <w:marRight w:val="0"/>
          <w:marTop w:val="0"/>
          <w:marBottom w:val="0"/>
          <w:divBdr>
            <w:top w:val="none" w:sz="0" w:space="0" w:color="auto"/>
            <w:left w:val="none" w:sz="0" w:space="0" w:color="auto"/>
            <w:bottom w:val="none" w:sz="0" w:space="0" w:color="auto"/>
            <w:right w:val="none" w:sz="0" w:space="0" w:color="auto"/>
          </w:divBdr>
        </w:div>
        <w:div w:id="1982691835">
          <w:marLeft w:val="0"/>
          <w:marRight w:val="0"/>
          <w:marTop w:val="0"/>
          <w:marBottom w:val="0"/>
          <w:divBdr>
            <w:top w:val="none" w:sz="0" w:space="0" w:color="auto"/>
            <w:left w:val="none" w:sz="0" w:space="0" w:color="auto"/>
            <w:bottom w:val="none" w:sz="0" w:space="0" w:color="auto"/>
            <w:right w:val="none" w:sz="0" w:space="0" w:color="auto"/>
          </w:divBdr>
        </w:div>
        <w:div w:id="1152332432">
          <w:marLeft w:val="0"/>
          <w:marRight w:val="0"/>
          <w:marTop w:val="0"/>
          <w:marBottom w:val="0"/>
          <w:divBdr>
            <w:top w:val="none" w:sz="0" w:space="0" w:color="auto"/>
            <w:left w:val="none" w:sz="0" w:space="0" w:color="auto"/>
            <w:bottom w:val="none" w:sz="0" w:space="0" w:color="auto"/>
            <w:right w:val="none" w:sz="0" w:space="0" w:color="auto"/>
          </w:divBdr>
        </w:div>
        <w:div w:id="1226650715">
          <w:marLeft w:val="0"/>
          <w:marRight w:val="0"/>
          <w:marTop w:val="0"/>
          <w:marBottom w:val="0"/>
          <w:divBdr>
            <w:top w:val="none" w:sz="0" w:space="0" w:color="auto"/>
            <w:left w:val="none" w:sz="0" w:space="0" w:color="auto"/>
            <w:bottom w:val="none" w:sz="0" w:space="0" w:color="auto"/>
            <w:right w:val="none" w:sz="0" w:space="0" w:color="auto"/>
          </w:divBdr>
        </w:div>
        <w:div w:id="694042548">
          <w:marLeft w:val="0"/>
          <w:marRight w:val="0"/>
          <w:marTop w:val="0"/>
          <w:marBottom w:val="0"/>
          <w:divBdr>
            <w:top w:val="none" w:sz="0" w:space="0" w:color="auto"/>
            <w:left w:val="none" w:sz="0" w:space="0" w:color="auto"/>
            <w:bottom w:val="none" w:sz="0" w:space="0" w:color="auto"/>
            <w:right w:val="none" w:sz="0" w:space="0" w:color="auto"/>
          </w:divBdr>
        </w:div>
        <w:div w:id="93986116">
          <w:marLeft w:val="0"/>
          <w:marRight w:val="0"/>
          <w:marTop w:val="0"/>
          <w:marBottom w:val="0"/>
          <w:divBdr>
            <w:top w:val="none" w:sz="0" w:space="0" w:color="auto"/>
            <w:left w:val="none" w:sz="0" w:space="0" w:color="auto"/>
            <w:bottom w:val="none" w:sz="0" w:space="0" w:color="auto"/>
            <w:right w:val="none" w:sz="0" w:space="0" w:color="auto"/>
          </w:divBdr>
          <w:divsChild>
            <w:div w:id="1824467943">
              <w:marLeft w:val="0"/>
              <w:marRight w:val="0"/>
              <w:marTop w:val="0"/>
              <w:marBottom w:val="0"/>
              <w:divBdr>
                <w:top w:val="none" w:sz="0" w:space="0" w:color="auto"/>
                <w:left w:val="none" w:sz="0" w:space="0" w:color="auto"/>
                <w:bottom w:val="none" w:sz="0" w:space="0" w:color="auto"/>
                <w:right w:val="none" w:sz="0" w:space="0" w:color="auto"/>
              </w:divBdr>
            </w:div>
            <w:div w:id="1223296911">
              <w:marLeft w:val="0"/>
              <w:marRight w:val="0"/>
              <w:marTop w:val="0"/>
              <w:marBottom w:val="0"/>
              <w:divBdr>
                <w:top w:val="none" w:sz="0" w:space="0" w:color="auto"/>
                <w:left w:val="none" w:sz="0" w:space="0" w:color="auto"/>
                <w:bottom w:val="none" w:sz="0" w:space="0" w:color="auto"/>
                <w:right w:val="none" w:sz="0" w:space="0" w:color="auto"/>
              </w:divBdr>
            </w:div>
            <w:div w:id="1111977668">
              <w:marLeft w:val="0"/>
              <w:marRight w:val="0"/>
              <w:marTop w:val="0"/>
              <w:marBottom w:val="0"/>
              <w:divBdr>
                <w:top w:val="none" w:sz="0" w:space="0" w:color="auto"/>
                <w:left w:val="none" w:sz="0" w:space="0" w:color="auto"/>
                <w:bottom w:val="none" w:sz="0" w:space="0" w:color="auto"/>
                <w:right w:val="none" w:sz="0" w:space="0" w:color="auto"/>
              </w:divBdr>
            </w:div>
          </w:divsChild>
        </w:div>
        <w:div w:id="722292851">
          <w:marLeft w:val="0"/>
          <w:marRight w:val="0"/>
          <w:marTop w:val="0"/>
          <w:marBottom w:val="0"/>
          <w:divBdr>
            <w:top w:val="none" w:sz="0" w:space="0" w:color="auto"/>
            <w:left w:val="none" w:sz="0" w:space="0" w:color="auto"/>
            <w:bottom w:val="none" w:sz="0" w:space="0" w:color="auto"/>
            <w:right w:val="none" w:sz="0" w:space="0" w:color="auto"/>
          </w:divBdr>
          <w:divsChild>
            <w:div w:id="1777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14" ma:contentTypeDescription="Create a new document." ma:contentTypeScope="" ma:versionID="3176b4880979587c9d56b2afb615f8e6">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0d3ffb95ae247df8f4a95c1ff836e7cd"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4A856-6383-4145-B2F0-047B88920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8252F-6F29-4702-9341-283E0AE0B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8AAFD-5143-4ED6-BC54-3BE959C0A1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2</cp:revision>
  <cp:lastPrinted>2023-03-20T18:44:00Z</cp:lastPrinted>
  <dcterms:created xsi:type="dcterms:W3CDTF">2023-03-27T12:10:00Z</dcterms:created>
  <dcterms:modified xsi:type="dcterms:W3CDTF">2023-03-27T12:10:00Z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