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alibri" w:hAnsi="Calibri"/>
          <w:sz w:val="20"/>
          <w:szCs w:val="22"/>
        </w:rPr>
      </w:pPr>
      <w:bookmarkStart w:id="0" w:name="_GoBack"/>
      <w:bookmarkEnd w:id="0"/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10" o:title=""/>
          </v:shape>
        </w:pict>
      </w: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 w:val="20"/>
          <w:szCs w:val="22"/>
        </w:rPr>
      </w:pPr>
    </w:p>
    <w:p>
      <w:pPr>
        <w:jc w:val="center"/>
        <w:rPr>
          <w:rFonts w:ascii="Calibri" w:hAnsi="Calibri" w:cs="Arial"/>
          <w:b/>
          <w:szCs w:val="22"/>
        </w:rPr>
      </w:pPr>
    </w:p>
    <w:p>
      <w:pPr>
        <w:jc w:val="center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Special Educational Needs Co-ordinator (SENCO)</w:t>
      </w:r>
    </w:p>
    <w:tbl>
      <w:tblPr>
        <w:tblpPr w:leftFromText="180" w:rightFromText="180" w:vertAnchor="text" w:horzAnchor="margin" w:tblpY="6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892"/>
      </w:tblGrid>
      <w:tr>
        <w:trPr>
          <w:tblHeader/>
        </w:trP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Desirable</w:t>
            </w: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Evidenced By</w:t>
            </w:r>
          </w:p>
        </w:tc>
      </w:tr>
      <w:tr>
        <w:tc>
          <w:tcPr>
            <w:tcW w:w="957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Teaching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Qualified Teacher Status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Honours Degree or equivalent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National SENCO qualification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Post-Graduate qualification in Proficiency in Assessment of Exam Access Arrangements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</w:t>
            </w:r>
          </w:p>
        </w:tc>
      </w:tr>
      <w:tr>
        <w:tc>
          <w:tcPr>
            <w:tcW w:w="957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Knowledge/Understanding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spacing w:beforeAutospacing="1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Has an up-to-date knowledge of SEND practice, including national and local initiatives, which will impact the school’s practice.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spacing w:beforeAutospacing="1" w:afterAutospacing="1"/>
              <w:rPr>
                <w:rStyle w:val="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Has an up-to-date knowledge of the Code of Practice for Special Educational Needs.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spacing w:beforeAutospacing="1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contentpasted1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An ability to lead and advise upon the effective implementation of all statutory regulations regarding special educational needs and equality of opportunity for students.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Ensure that all SEND students have access to an appropriate, comprehensive and high-quality curriculum, in line with all statutory requirements.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spacing w:beforeAutospacing="1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Implement strategies for raising the achievement of all SEND students, including differentiating the curriculum for individual students; subsequent effective data analysis to set targets for improvement.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Recognition of the need for partnerships and effective collaboration with other schools, agencies and organisations.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957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Leadership/Management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Previous leadership experience with Line Management responsibility.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innovative and collegiate leadership style with the ability to motivate staff towards that vision and to build on the existing high standards in the school.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leader with proven ability to manage change and to establish and maintain good working relationships with staff, students and parents.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Track record of driving strategies to raise standards for teaching and learning.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Experience in leading and empowering staff effectively.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Excellent classroom management.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>
        <w:tc>
          <w:tcPr>
            <w:tcW w:w="957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lastRenderedPageBreak/>
              <w:t>General / Personal Qualities and Characteristics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An effective team player who has the ability and experience to think and work independently.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 understanding of the importance of, and the desire to engage with, and inspire, all young people.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Strong written communication and presentation skills; high order administrative and management skills.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Excellent organisational skills, ability to effectively manage competing priorities and adhere to a range of tight deadlines.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person of judgement with a high degree of professionalism and integrity, who will uphold the values of the school and see students as the absolute priority.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Strong emotional intelligence that is attuned to supporting students, parents and staff.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Application/Interview/Reference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 commitment to safeguarding and promoting the welfare of children and young people.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Willingness and commitment to support the Catholic Ethos of the school.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Application/Interview</w:t>
            </w:r>
          </w:p>
        </w:tc>
      </w:tr>
    </w:tbl>
    <w:p>
      <w:pPr>
        <w:rPr>
          <w:rFonts w:ascii="Calibri" w:hAnsi="Calibri"/>
          <w:sz w:val="20"/>
          <w:szCs w:val="22"/>
        </w:rPr>
      </w:pPr>
    </w:p>
    <w:sectPr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3F8"/>
    <w:multiLevelType w:val="multilevel"/>
    <w:tmpl w:val="EBA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C1D43"/>
    <w:multiLevelType w:val="multilevel"/>
    <w:tmpl w:val="9C9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0285B"/>
    <w:multiLevelType w:val="multilevel"/>
    <w:tmpl w:val="B73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32CEB"/>
    <w:multiLevelType w:val="hybridMultilevel"/>
    <w:tmpl w:val="FA06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77681"/>
    <w:multiLevelType w:val="hybridMultilevel"/>
    <w:tmpl w:val="EAFE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F251E-9DC3-4DA7-9563-D2F25B5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ontentpasted0">
    <w:name w:val="contentpasted0"/>
    <w:basedOn w:val="DefaultParagraphFont"/>
  </w:style>
  <w:style w:type="character" w:customStyle="1" w:styleId="contentpasted1">
    <w:name w:val="contentpasted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59609AC72A40882E1F035B080F4B" ma:contentTypeVersion="14" ma:contentTypeDescription="Create a new document." ma:contentTypeScope="" ma:versionID="3176b4880979587c9d56b2afb615f8e6">
  <xsd:schema xmlns:xsd="http://www.w3.org/2001/XMLSchema" xmlns:xs="http://www.w3.org/2001/XMLSchema" xmlns:p="http://schemas.microsoft.com/office/2006/metadata/properties" xmlns:ns3="b2bd90c3-9ed6-4e72-a2ec-e95c0db0d754" xmlns:ns4="6c60ec2e-cb8c-433c-a469-e2de6091b863" targetNamespace="http://schemas.microsoft.com/office/2006/metadata/properties" ma:root="true" ma:fieldsID="0d3ffb95ae247df8f4a95c1ff836e7cd" ns3:_="" ns4:_="">
    <xsd:import namespace="b2bd90c3-9ed6-4e72-a2ec-e95c0db0d754"/>
    <xsd:import namespace="6c60ec2e-cb8c-433c-a469-e2de6091b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90c3-9ed6-4e72-a2ec-e95c0db0d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c2e-cb8c-433c-a469-e2de6091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6D389-11E1-4EDC-A9B8-0479491EF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84079-0EC0-43C2-97D2-D73BB52E4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DBE9A-135C-45F7-8C7C-02BA9203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d90c3-9ed6-4e72-a2ec-e95c0db0d754"/>
    <ds:schemaRef ds:uri="6c60ec2e-cb8c-433c-a469-e2de609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2</cp:revision>
  <cp:lastPrinted>2022-05-17T07:17:00Z</cp:lastPrinted>
  <dcterms:created xsi:type="dcterms:W3CDTF">2023-03-27T12:09:00Z</dcterms:created>
  <dcterms:modified xsi:type="dcterms:W3CDTF">2023-03-27T12:09:00Z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0x01010062F659609AC72A40882E1F035B080F4B</vt:lpwstr>
  </property>
</Properties>
</file>