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3C94" w:rsidRDefault="00B03C94" w:rsidP="4BDF794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Theme="minorEastAsia" w:hAnsiTheme="minorHAnsi" w:cstheme="minorBidi"/>
        </w:rPr>
      </w:pPr>
      <w:bookmarkStart w:id="0" w:name="_GoBack"/>
      <w:bookmarkEnd w:id="0"/>
    </w:p>
    <w:p w14:paraId="00000002" w14:textId="77777777" w:rsidR="00B03C94" w:rsidRDefault="008253F7" w:rsidP="4BDF794B">
      <w:pPr>
        <w:pStyle w:val="heading10"/>
        <w:jc w:val="center"/>
        <w:rPr>
          <w:rFonts w:asciiTheme="minorHAnsi" w:eastAsiaTheme="minorEastAsia" w:hAnsiTheme="minorHAnsi" w:cstheme="minorBidi"/>
        </w:rPr>
      </w:pPr>
      <w:r>
        <w:rPr>
          <w:rFonts w:ascii="Calibri" w:hAnsi="Calibri" w:cs="Calibri"/>
          <w:noProof/>
        </w:rPr>
        <w:drawing>
          <wp:inline distT="114300" distB="114300" distL="114300" distR="114300" wp14:anchorId="1E9234CC" wp14:editId="07777777">
            <wp:extent cx="2027400" cy="10698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400" cy="1069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3FA39022" w:rsidR="00B03C94" w:rsidRDefault="4BDF794B" w:rsidP="4BDF794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 xml:space="preserve">Job title: Special educational needs disability </w:t>
      </w:r>
      <w:r w:rsidRPr="4BDF794B">
        <w:rPr>
          <w:rFonts w:asciiTheme="minorHAnsi" w:eastAsiaTheme="minorEastAsia" w:hAnsiTheme="minorHAnsi" w:cstheme="minorBidi"/>
          <w:b/>
          <w:bCs/>
          <w:sz w:val="28"/>
          <w:szCs w:val="28"/>
        </w:rPr>
        <w:t>coordinator</w:t>
      </w:r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 xml:space="preserve"> (</w:t>
      </w:r>
      <w:proofErr w:type="spellStart"/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>SENDC</w:t>
      </w:r>
      <w:r w:rsidR="0065155A">
        <w:rPr>
          <w:rFonts w:asciiTheme="minorHAnsi" w:eastAsiaTheme="minorEastAsia" w:hAnsiTheme="minorHAnsi" w:cstheme="minorBidi"/>
          <w:b/>
          <w:bCs/>
          <w:sz w:val="28"/>
          <w:szCs w:val="28"/>
        </w:rPr>
        <w:t>o</w:t>
      </w:r>
      <w:proofErr w:type="spellEnd"/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 xml:space="preserve">) </w:t>
      </w:r>
    </w:p>
    <w:p w14:paraId="00000004" w14:textId="7E5786F6" w:rsidR="00B03C94" w:rsidRDefault="4BDF794B" w:rsidP="5D2CE85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5D2CE85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Salary: MPS</w:t>
      </w:r>
      <w:r w:rsidR="48CCDBA8" w:rsidRPr="5D2CE85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/UPS</w:t>
      </w:r>
      <w:r w:rsidRPr="5D2CE859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plus TLR up to £7500, member of school's leadership team</w:t>
      </w:r>
    </w:p>
    <w:p w14:paraId="00000005" w14:textId="77777777" w:rsidR="00B03C94" w:rsidRDefault="4BDF794B" w:rsidP="4BDF794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>Hours: Full Time</w:t>
      </w:r>
    </w:p>
    <w:p w14:paraId="766D05F2" w14:textId="5FDB153E" w:rsidR="00B03C94" w:rsidRDefault="4BDF794B" w:rsidP="4BDF794B">
      <w:pPr>
        <w:pStyle w:val="Normal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 xml:space="preserve">Contract type: </w:t>
      </w:r>
      <w:r w:rsidRPr="4BDF794B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Permanent</w:t>
      </w:r>
    </w:p>
    <w:p w14:paraId="00000007" w14:textId="77777777" w:rsidR="00B03C94" w:rsidRDefault="4BDF794B" w:rsidP="4BDF794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</w:pPr>
      <w:r w:rsidRPr="4BDF794B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</w:rPr>
        <w:t>Reporting to: Headteacher</w:t>
      </w:r>
    </w:p>
    <w:p w14:paraId="00D61248" w14:textId="48946975" w:rsidR="4BDF794B" w:rsidRDefault="4BDF794B" w:rsidP="4BDF794B">
      <w:pPr>
        <w:pStyle w:val="Normal0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50636984" w14:textId="2AA0C840" w:rsidR="4D85F6E6" w:rsidRDefault="4D85F6E6" w:rsidP="4BDF794B">
      <w:pPr>
        <w:pStyle w:val="Normal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Do you have the skills, qualities an</w:t>
      </w:r>
      <w:r w:rsidR="002A327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</w:t>
      </w:r>
      <w:r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69895B9B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attributes</w:t>
      </w:r>
      <w:r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605EC7D7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make a difference to our pupils? </w:t>
      </w:r>
      <w:r w:rsidR="0302DDA2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Are you looking to develop your career and become </w:t>
      </w:r>
      <w:r w:rsidR="002A327F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 S</w:t>
      </w:r>
      <w:r w:rsidR="05493B28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enior Leader within a school? If so then this role could be for you. We need a </w:t>
      </w:r>
      <w:r w:rsidR="495A8B93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suitably</w:t>
      </w:r>
      <w:r w:rsidR="05493B28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="3C17E5EC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qualified</w:t>
      </w:r>
      <w:r w:rsidR="00216A4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="00216A4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SENDCo</w:t>
      </w:r>
      <w:proofErr w:type="spellEnd"/>
      <w:r w:rsidR="05493B28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who will have a 50% teaching commitment across the school </w:t>
      </w:r>
      <w:r w:rsidR="6DE6C7CA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supporting</w:t>
      </w:r>
      <w:r w:rsidR="05493B28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the </w:t>
      </w:r>
      <w:r w:rsidR="3478F70E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children who need the </w:t>
      </w:r>
      <w:r w:rsidR="230803B2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greatest</w:t>
      </w:r>
      <w:r w:rsidR="3478F70E" w:rsidRPr="4BDF794B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amount of care, guidance and support.</w:t>
      </w:r>
    </w:p>
    <w:p w14:paraId="0DF9C147" w14:textId="3192285C" w:rsidR="3478F70E" w:rsidRPr="002A327F" w:rsidRDefault="3478F70E" w:rsidP="4BDF794B">
      <w:pPr>
        <w:pStyle w:val="Normal0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</w:pPr>
      <w:r w:rsidRPr="002A327F"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  <w:t>We will offer you:</w:t>
      </w:r>
    </w:p>
    <w:p w14:paraId="0F43E76A" w14:textId="73E4B8AF" w:rsidR="3478F70E" w:rsidRPr="002A327F" w:rsidRDefault="3478F70E" w:rsidP="5D2CE859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D2CE85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The chance to create a SEND hub </w:t>
      </w:r>
      <w:r w:rsidR="44F092AC" w:rsidRPr="5D2CE85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within</w:t>
      </w:r>
      <w:r w:rsidRPr="5D2CE85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the school and the funding to make the space an exemplar </w:t>
      </w:r>
      <w:r w:rsidR="2DC8821F" w:rsidRPr="5D2CE85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for</w:t>
      </w:r>
      <w:r w:rsidRPr="5D2CE859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others to learn from</w:t>
      </w:r>
    </w:p>
    <w:p w14:paraId="030334C8" w14:textId="0C0212B4" w:rsidR="3478F70E" w:rsidRPr="002A327F" w:rsidRDefault="3478F70E" w:rsidP="4BDF794B">
      <w:pPr>
        <w:pStyle w:val="Normal0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</w:pPr>
      <w:r w:rsidRPr="002A327F"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  <w:t>You will lead on:</w:t>
      </w:r>
    </w:p>
    <w:p w14:paraId="5CFF234B" w14:textId="4A9F53B9" w:rsidR="3478F70E" w:rsidRDefault="3478F70E" w:rsidP="002A327F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 w:rsidRPr="4BDF794B">
        <w:rPr>
          <w:rFonts w:asciiTheme="minorHAnsi" w:eastAsiaTheme="minorEastAsia" w:hAnsiTheme="minorHAnsi" w:cstheme="minorBidi"/>
          <w:color w:val="201F1E"/>
          <w:sz w:val="24"/>
          <w:szCs w:val="24"/>
        </w:rPr>
        <w:t>TA timetables</w:t>
      </w:r>
    </w:p>
    <w:p w14:paraId="37DFF8C4" w14:textId="1E7D0BFC" w:rsidR="3478F70E" w:rsidRDefault="3478F70E" w:rsidP="5D2CE859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SEND </w:t>
      </w:r>
      <w:r w:rsidR="52E4FBD9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pupil</w:t>
      </w: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 timetables</w:t>
      </w:r>
    </w:p>
    <w:p w14:paraId="15D5FD06" w14:textId="2EACB4D9" w:rsidR="3478F70E" w:rsidRDefault="3478F70E" w:rsidP="002A327F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 w:rsidRPr="4BDF794B">
        <w:rPr>
          <w:rFonts w:asciiTheme="minorHAnsi" w:eastAsiaTheme="minorEastAsia" w:hAnsiTheme="minorHAnsi" w:cstheme="minorBidi"/>
          <w:color w:val="201F1E"/>
          <w:sz w:val="24"/>
          <w:szCs w:val="24"/>
        </w:rPr>
        <w:t>1-1 support</w:t>
      </w:r>
    </w:p>
    <w:p w14:paraId="44472DC8" w14:textId="1E060C1D" w:rsidR="3478F70E" w:rsidRDefault="002A327F" w:rsidP="002A327F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>
        <w:rPr>
          <w:rFonts w:asciiTheme="minorHAnsi" w:eastAsiaTheme="minorEastAsia" w:hAnsiTheme="minorHAnsi" w:cstheme="minorBidi"/>
          <w:color w:val="201F1E"/>
          <w:sz w:val="24"/>
          <w:szCs w:val="24"/>
        </w:rPr>
        <w:t>S</w:t>
      </w:r>
      <w:r w:rsidR="3478F70E" w:rsidRPr="4BDF794B">
        <w:rPr>
          <w:rFonts w:asciiTheme="minorHAnsi" w:eastAsiaTheme="minorEastAsia" w:hAnsiTheme="minorHAnsi" w:cstheme="minorBidi"/>
          <w:color w:val="201F1E"/>
          <w:sz w:val="24"/>
          <w:szCs w:val="24"/>
        </w:rPr>
        <w:t>mall group sessions</w:t>
      </w:r>
    </w:p>
    <w:p w14:paraId="7C36DC9A" w14:textId="1C0779A2" w:rsidR="3478F70E" w:rsidRDefault="002A327F" w:rsidP="5D2CE859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L</w:t>
      </w:r>
      <w:r w:rsidR="3478F70E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eading the whole school SEND </w:t>
      </w:r>
      <w:r w:rsidR="08FB0E37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development</w:t>
      </w:r>
    </w:p>
    <w:p w14:paraId="77422D62" w14:textId="17A66429" w:rsidR="3478F70E" w:rsidRPr="002A327F" w:rsidRDefault="3478F70E" w:rsidP="4BDF794B">
      <w:pPr>
        <w:pStyle w:val="ListParagraph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 w:rsidRPr="4BDF794B">
        <w:rPr>
          <w:rFonts w:asciiTheme="minorHAnsi" w:eastAsiaTheme="minorEastAsia" w:hAnsiTheme="minorHAnsi" w:cstheme="minorBidi"/>
          <w:color w:val="201F1E"/>
          <w:sz w:val="24"/>
          <w:szCs w:val="24"/>
        </w:rPr>
        <w:t>Supporting with transition to KS1/2/secondary</w:t>
      </w:r>
    </w:p>
    <w:p w14:paraId="52428C46" w14:textId="5734FA9F" w:rsidR="3478F70E" w:rsidRPr="002A327F" w:rsidRDefault="3478F70E" w:rsidP="4BDF794B">
      <w:pPr>
        <w:pStyle w:val="Normal0"/>
        <w:rPr>
          <w:rFonts w:asciiTheme="minorHAnsi" w:eastAsiaTheme="minorEastAsia" w:hAnsiTheme="minorHAnsi" w:cstheme="minorBidi"/>
          <w:b/>
          <w:color w:val="201F1E"/>
          <w:sz w:val="24"/>
          <w:szCs w:val="24"/>
        </w:rPr>
      </w:pPr>
      <w:r w:rsidRPr="002A327F">
        <w:rPr>
          <w:rFonts w:asciiTheme="minorHAnsi" w:eastAsiaTheme="minorEastAsia" w:hAnsiTheme="minorHAnsi" w:cstheme="minorBidi"/>
          <w:b/>
          <w:color w:val="201F1E"/>
          <w:sz w:val="24"/>
          <w:szCs w:val="24"/>
        </w:rPr>
        <w:t>The role will be:</w:t>
      </w:r>
    </w:p>
    <w:p w14:paraId="06032F2C" w14:textId="5A25EE88" w:rsidR="3478F70E" w:rsidRPr="002A327F" w:rsidRDefault="002A327F" w:rsidP="4BDF794B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201F1E"/>
          <w:sz w:val="24"/>
          <w:szCs w:val="24"/>
        </w:rPr>
      </w:pPr>
      <w:r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50% </w:t>
      </w:r>
      <w:r w:rsidR="0065155A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of the role </w:t>
      </w:r>
      <w:r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>will</w:t>
      </w:r>
      <w:r w:rsidR="3478F70E" w:rsidRPr="002A327F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 be ‘being a </w:t>
      </w:r>
      <w:proofErr w:type="spellStart"/>
      <w:r w:rsidR="3478F70E" w:rsidRPr="002A327F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>SEN</w:t>
      </w:r>
      <w:r w:rsidR="0065155A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>D</w:t>
      </w:r>
      <w:r w:rsidR="00216A44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>Co</w:t>
      </w:r>
      <w:proofErr w:type="spellEnd"/>
      <w:r w:rsidR="3478F70E" w:rsidRPr="002A327F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’ – observing lessons to support class teachers, completing </w:t>
      </w:r>
      <w:r w:rsidR="0065155A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funding </w:t>
      </w:r>
      <w:r w:rsidR="3478F70E" w:rsidRPr="002A327F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paperwork, holding </w:t>
      </w:r>
      <w:r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 xml:space="preserve">meetings with parents/external agencies and </w:t>
      </w:r>
      <w:r w:rsidR="3478F70E" w:rsidRPr="002A327F">
        <w:rPr>
          <w:rFonts w:asciiTheme="minorHAnsi" w:eastAsiaTheme="minorEastAsia" w:hAnsiTheme="minorHAnsi" w:cstheme="minorBidi"/>
          <w:iCs/>
          <w:color w:val="201F1E"/>
          <w:sz w:val="24"/>
          <w:szCs w:val="24"/>
        </w:rPr>
        <w:t>preparing for OFSTED.</w:t>
      </w:r>
    </w:p>
    <w:p w14:paraId="00000008" w14:textId="7355CE78" w:rsidR="00B03C94" w:rsidRPr="0065155A" w:rsidRDefault="0065155A" w:rsidP="001426F4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Calibri"/>
          <w:color w:val="000000"/>
          <w:sz w:val="24"/>
          <w:szCs w:val="24"/>
        </w:rPr>
      </w:pP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The remaining 50% </w:t>
      </w:r>
      <w:r w:rsidR="002A327F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will</w:t>
      </w: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 be teaching small </w:t>
      </w:r>
      <w:r w:rsidR="243D91A4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groups </w:t>
      </w: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of children </w:t>
      </w:r>
      <w:r w:rsidR="008253F7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with additional needs</w:t>
      </w: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 through </w:t>
      </w:r>
      <w:r w:rsidR="3478F70E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a timetable of i</w:t>
      </w:r>
      <w:r w:rsidR="00216A44"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nterventions for </w:t>
      </w:r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phonics, English and </w:t>
      </w:r>
      <w:proofErr w:type="spellStart"/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>Maths</w:t>
      </w:r>
      <w:proofErr w:type="spellEnd"/>
      <w:r w:rsidRPr="5D2CE859">
        <w:rPr>
          <w:rFonts w:asciiTheme="minorHAnsi" w:eastAsiaTheme="minorEastAsia" w:hAnsiTheme="minorHAnsi" w:cstheme="minorBidi"/>
          <w:color w:val="201F1E"/>
          <w:sz w:val="24"/>
          <w:szCs w:val="24"/>
        </w:rPr>
        <w:t xml:space="preserve"> to ensure that their needs are met. </w:t>
      </w:r>
      <w:bookmarkStart w:id="1" w:name="_heading=h.gjdgxs"/>
      <w:bookmarkEnd w:id="1"/>
    </w:p>
    <w:p w14:paraId="00000009" w14:textId="77777777" w:rsidR="00B03C94" w:rsidRDefault="008253F7">
      <w:pPr>
        <w:pStyle w:val="heading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Main purpose </w:t>
      </w:r>
    </w:p>
    <w:p w14:paraId="0000000A" w14:textId="28C33426" w:rsidR="00B03C94" w:rsidRDefault="00216A44">
      <w:pPr>
        <w:pStyle w:val="Normal0"/>
        <w:spacing w:before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proofErr w:type="spellStart"/>
      <w:r>
        <w:rPr>
          <w:rFonts w:ascii="Calibri" w:eastAsia="Calibri" w:hAnsi="Calibri" w:cs="Calibri"/>
          <w:sz w:val="24"/>
          <w:szCs w:val="24"/>
        </w:rPr>
        <w:t>SENDCo</w:t>
      </w:r>
      <w:proofErr w:type="spellEnd"/>
      <w:r w:rsidR="008253F7">
        <w:rPr>
          <w:rFonts w:ascii="Calibri" w:eastAsia="Calibri" w:hAnsi="Calibri" w:cs="Calibri"/>
          <w:sz w:val="24"/>
          <w:szCs w:val="24"/>
        </w:rPr>
        <w:t>, under the direction of the Headteacher, will:</w:t>
      </w:r>
    </w:p>
    <w:p w14:paraId="0000000B" w14:textId="77777777" w:rsidR="00B03C94" w:rsidRDefault="008253F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Determine the strategic development of special educational needs (SEND) policy and provision in the school</w:t>
      </w:r>
    </w:p>
    <w:p w14:paraId="0000000C" w14:textId="77777777" w:rsidR="00B03C94" w:rsidRDefault="008253F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 responsible for the day-to-day operation of the SEND policy and </w:t>
      </w:r>
      <w:r>
        <w:rPr>
          <w:rFonts w:ascii="Calibri" w:eastAsia="Calibri" w:hAnsi="Calibri" w:cs="Calibri"/>
          <w:sz w:val="24"/>
          <w:szCs w:val="24"/>
        </w:rPr>
        <w:t>coordination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of specific provision to support individual pupils with SEND or a disability</w:t>
      </w:r>
    </w:p>
    <w:p w14:paraId="0000000D" w14:textId="7A30E378" w:rsidR="00B03C94" w:rsidRDefault="008253F7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Provide professional guidance to colleagues, working closely with staff, parents and other agencies </w:t>
      </w:r>
    </w:p>
    <w:p w14:paraId="409370D9" w14:textId="13F2BC4C" w:rsidR="002D0DC9" w:rsidRPr="002D0DC9" w:rsidRDefault="002D0DC9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D0DC9">
        <w:rPr>
          <w:rFonts w:asciiTheme="minorHAnsi" w:hAnsiTheme="minorHAnsi" w:cstheme="minorHAnsi"/>
          <w:sz w:val="24"/>
          <w:szCs w:val="24"/>
        </w:rPr>
        <w:t>To build positive relationships with all parents and make sure they are fully aware of their role in supporting their children’s education</w:t>
      </w:r>
    </w:p>
    <w:p w14:paraId="0000000F" w14:textId="77777777" w:rsidR="00B03C94" w:rsidRDefault="4BDF794B" w:rsidP="4BDF794B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 w:rsidRPr="4BDF794B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proofErr w:type="spellStart"/>
      <w:r w:rsidRPr="4BDF794B">
        <w:rPr>
          <w:rFonts w:ascii="Calibri" w:eastAsia="Calibri" w:hAnsi="Calibri" w:cs="Calibri"/>
          <w:color w:val="000000"/>
          <w:sz w:val="24"/>
          <w:szCs w:val="24"/>
        </w:rPr>
        <w:t>SENDCo</w:t>
      </w:r>
      <w:proofErr w:type="spellEnd"/>
      <w:r w:rsidRPr="4BDF794B">
        <w:rPr>
          <w:rFonts w:ascii="Calibri" w:eastAsia="Calibri" w:hAnsi="Calibri" w:cs="Calibri"/>
          <w:color w:val="000000"/>
          <w:sz w:val="24"/>
          <w:szCs w:val="24"/>
        </w:rPr>
        <w:t xml:space="preserve"> will also be expected to fulfil the professional responsibilities of a teacher, as set out in the School Teachers’ Pay and Conditions Document.</w:t>
      </w:r>
    </w:p>
    <w:p w14:paraId="00000010" w14:textId="77777777" w:rsidR="00B03C94" w:rsidRDefault="008253F7">
      <w:pPr>
        <w:pStyle w:val="heading1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Duties and responsibilities </w:t>
      </w:r>
    </w:p>
    <w:p w14:paraId="00000011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12263F"/>
          <w:sz w:val="24"/>
          <w:szCs w:val="24"/>
        </w:rPr>
      </w:pPr>
      <w:r>
        <w:rPr>
          <w:rFonts w:ascii="Calibri" w:eastAsia="Calibri" w:hAnsi="Calibri" w:cs="Calibri"/>
          <w:b/>
          <w:color w:val="12263F"/>
          <w:sz w:val="24"/>
          <w:szCs w:val="24"/>
        </w:rPr>
        <w:t>Strategic development of SEND policy and provision</w:t>
      </w:r>
    </w:p>
    <w:p w14:paraId="00000012" w14:textId="77777777" w:rsidR="00B03C94" w:rsidRDefault="008253F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Have a strategic overview of provision for pupils with SEN or a disability across the school, monitoring and reviewing the quality of provision</w:t>
      </w:r>
    </w:p>
    <w:p w14:paraId="00000013" w14:textId="77777777" w:rsidR="00B03C94" w:rsidRDefault="008253F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Contribute to school self-evaluation, particularly with respect to provision for pupils with SEN or a disability</w:t>
      </w:r>
    </w:p>
    <w:p w14:paraId="00000014" w14:textId="77777777" w:rsidR="00B03C94" w:rsidRDefault="008253F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Ensure the SEND policy is put into practice, and that the objectives of this policy are reflected in the school improvement plan</w:t>
      </w:r>
    </w:p>
    <w:p w14:paraId="00000015" w14:textId="77777777" w:rsidR="00B03C94" w:rsidRDefault="008253F7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Maintain an up-to-date knowledge of national and local initiatives which may affect the school’s policy and practice</w:t>
      </w:r>
    </w:p>
    <w:p w14:paraId="00000017" w14:textId="77777777" w:rsidR="00B03C94" w:rsidRDefault="4BDF794B" w:rsidP="4BDF794B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DF794B">
        <w:rPr>
          <w:rFonts w:ascii="Calibri" w:eastAsia="Calibri" w:hAnsi="Calibri" w:cs="Calibri"/>
          <w:color w:val="000000"/>
          <w:sz w:val="24"/>
          <w:szCs w:val="24"/>
        </w:rPr>
        <w:t>Evaluate whether funding is being used effectively, and propose changes to make the use of funding more effective</w:t>
      </w:r>
    </w:p>
    <w:p w14:paraId="00000018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12263F"/>
          <w:sz w:val="24"/>
          <w:szCs w:val="24"/>
        </w:rPr>
      </w:pPr>
      <w:r>
        <w:rPr>
          <w:rFonts w:ascii="Calibri" w:eastAsia="Calibri" w:hAnsi="Calibri" w:cs="Calibri"/>
          <w:b/>
          <w:color w:val="12263F"/>
          <w:sz w:val="24"/>
          <w:szCs w:val="24"/>
        </w:rPr>
        <w:t>Operation of the SEN policy and coordination of provision</w:t>
      </w:r>
    </w:p>
    <w:p w14:paraId="00000019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Maintain an accurate SEND register and provision map</w:t>
      </w:r>
    </w:p>
    <w:p w14:paraId="0000001A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Provide guidance to colleagues on teaching pupils with SEN or a disability, and advise on the graduated approach to SEND support</w:t>
      </w:r>
    </w:p>
    <w:p w14:paraId="0000001B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Advise on the use of the school’s budget and other resources to meet pupils’ needs effectively, including staff deployment</w:t>
      </w:r>
    </w:p>
    <w:p w14:paraId="0000001C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 aware of the provision in the local offer</w:t>
      </w:r>
    </w:p>
    <w:p w14:paraId="0000001D" w14:textId="4532E70B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Work with early </w:t>
      </w:r>
      <w:r w:rsidR="002A327F">
        <w:rPr>
          <w:rFonts w:ascii="Calibri" w:eastAsia="Calibri" w:hAnsi="Calibri" w:cs="Calibri"/>
          <w:color w:val="000000"/>
          <w:sz w:val="24"/>
          <w:szCs w:val="24"/>
        </w:rPr>
        <w:t>years’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providers, other schools, educational psychologists, health and social care professionals, and other external agencies</w:t>
      </w:r>
    </w:p>
    <w:p w14:paraId="0000001E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 a key point of contact for external agencies, especially the local authority</w:t>
      </w:r>
    </w:p>
    <w:p w14:paraId="0000001F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Analyse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assessment data for pupils with SEN or a disability</w:t>
      </w:r>
    </w:p>
    <w:p w14:paraId="00000020" w14:textId="77777777" w:rsidR="00B03C94" w:rsidRDefault="008253F7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Advise 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>
        <w:rPr>
          <w:rFonts w:ascii="Calibri" w:eastAsia="Calibri" w:hAnsi="Calibri" w:cs="Calibri"/>
          <w:sz w:val="24"/>
          <w:szCs w:val="24"/>
        </w:rPr>
        <w:t>evaluate the effectiveness of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intervention groups </w:t>
      </w:r>
    </w:p>
    <w:p w14:paraId="00000021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12263F"/>
          <w:sz w:val="24"/>
          <w:szCs w:val="24"/>
        </w:rPr>
      </w:pPr>
      <w:r>
        <w:rPr>
          <w:rFonts w:ascii="Calibri" w:eastAsia="Calibri" w:hAnsi="Calibri" w:cs="Calibri"/>
          <w:b/>
          <w:color w:val="12263F"/>
          <w:sz w:val="24"/>
          <w:szCs w:val="24"/>
        </w:rPr>
        <w:t>Support for pupils with SEN or a disability</w:t>
      </w:r>
    </w:p>
    <w:p w14:paraId="00000022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Identify a pupil’s SEN</w:t>
      </w:r>
    </w:p>
    <w:p w14:paraId="00000023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Coordinate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provision that meets the pupil’s needs, and monitor its effectiveness</w:t>
      </w:r>
    </w:p>
    <w:p w14:paraId="00000024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Secure relevant services for the pupil</w:t>
      </w:r>
    </w:p>
    <w:p w14:paraId="00000025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Ensure records are maintained and kept up to date</w:t>
      </w:r>
    </w:p>
    <w:p w14:paraId="00000026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Annually r</w:t>
      </w:r>
      <w:r>
        <w:rPr>
          <w:rFonts w:ascii="Calibri" w:eastAsia="Calibri" w:hAnsi="Calibri" w:cs="Calibri"/>
          <w:color w:val="000000"/>
          <w:sz w:val="24"/>
          <w:szCs w:val="24"/>
        </w:rPr>
        <w:t>eview the Education, Health and Care Plans (EHCP) with parents</w:t>
      </w:r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carers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and the pupil</w:t>
      </w:r>
    </w:p>
    <w:p w14:paraId="00000027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Communicate regularly with parents or careers</w:t>
      </w:r>
    </w:p>
    <w:p w14:paraId="00000028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Ensure that if the pupil transfers to another school, all relevant information is </w:t>
      </w:r>
      <w:r>
        <w:rPr>
          <w:rFonts w:ascii="Calibri" w:eastAsia="Calibri" w:hAnsi="Calibri" w:cs="Calibri"/>
          <w:sz w:val="24"/>
          <w:szCs w:val="24"/>
        </w:rPr>
        <w:t>transferred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to it, and support a smooth transition for the pupil</w:t>
      </w:r>
    </w:p>
    <w:p w14:paraId="00000029" w14:textId="77777777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Promote the pupil’s inclusion in the school community and access to the curriculum, facilities and extra-curricular activities</w:t>
      </w:r>
    </w:p>
    <w:p w14:paraId="0000002A" w14:textId="5661B530" w:rsidR="00B03C94" w:rsidRDefault="008253F7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Work with the designated teacher for looked-after children, where a looked-after pupil has SEN or a disability</w:t>
      </w:r>
    </w:p>
    <w:p w14:paraId="7D70DD48" w14:textId="79E0EC51" w:rsidR="00562AD5" w:rsidRPr="00562AD5" w:rsidRDefault="00562AD5" w:rsidP="00562AD5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562AD5">
        <w:rPr>
          <w:rFonts w:asciiTheme="minorHAnsi" w:hAnsiTheme="minorHAnsi" w:cstheme="minorHAnsi"/>
          <w:sz w:val="24"/>
          <w:szCs w:val="24"/>
        </w:rPr>
        <w:t xml:space="preserve">To make sure </w:t>
      </w:r>
      <w:proofErr w:type="spellStart"/>
      <w:r w:rsidRPr="00562AD5">
        <w:rPr>
          <w:rFonts w:asciiTheme="minorHAnsi" w:hAnsiTheme="minorHAnsi" w:cstheme="minorHAnsi"/>
          <w:sz w:val="24"/>
          <w:szCs w:val="24"/>
        </w:rPr>
        <w:t>transistion</w:t>
      </w:r>
      <w:proofErr w:type="spellEnd"/>
      <w:r w:rsidRPr="00562AD5">
        <w:rPr>
          <w:rFonts w:asciiTheme="minorHAnsi" w:hAnsiTheme="minorHAnsi" w:cstheme="minorHAnsi"/>
          <w:sz w:val="24"/>
          <w:szCs w:val="24"/>
        </w:rPr>
        <w:t xml:space="preserve"> between all key stages is effective particularly when children move onto secondary education</w:t>
      </w:r>
    </w:p>
    <w:p w14:paraId="0000002B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12263F"/>
          <w:sz w:val="24"/>
          <w:szCs w:val="24"/>
        </w:rPr>
      </w:pPr>
      <w:r>
        <w:rPr>
          <w:rFonts w:ascii="Calibri" w:eastAsia="Calibri" w:hAnsi="Calibri" w:cs="Calibri"/>
          <w:b/>
          <w:color w:val="12263F"/>
          <w:sz w:val="24"/>
          <w:szCs w:val="24"/>
        </w:rPr>
        <w:t>Leadership and management</w:t>
      </w:r>
    </w:p>
    <w:p w14:paraId="0000002C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Work with the 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eadteacher and governors to ensure the school meets its responsibilities under the Equality Act 2010 in terms of reasonable adjustments and access arrangements</w:t>
      </w:r>
    </w:p>
    <w:p w14:paraId="0000002D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Prepare and review information the governing board is required to publish</w:t>
      </w:r>
    </w:p>
    <w:p w14:paraId="0000002E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Contribute to the school improvement plan and whole-school policy</w:t>
      </w:r>
    </w:p>
    <w:p w14:paraId="0000002F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Identify training needs for staff and how to meet these needs</w:t>
      </w:r>
    </w:p>
    <w:p w14:paraId="00000030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Lead INSET for staff</w:t>
      </w:r>
    </w:p>
    <w:p w14:paraId="00000031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Share procedural information, such as the school’s SEN policy</w:t>
      </w:r>
    </w:p>
    <w:p w14:paraId="00000032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Promote an ethos and culture that supports the school’s SEND policy and promotes good outcomes for pupils with SEN or a disability</w:t>
      </w:r>
    </w:p>
    <w:p w14:paraId="00000033" w14:textId="77777777" w:rsidR="00B03C94" w:rsidRDefault="008253F7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Lead and manage teaching assistants working with pupils with SEN or a disability</w:t>
      </w:r>
    </w:p>
    <w:p w14:paraId="00000034" w14:textId="77777777" w:rsidR="00B03C94" w:rsidRDefault="00B03C9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35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/>
          <w:color w:val="12263F"/>
          <w:sz w:val="24"/>
          <w:szCs w:val="24"/>
        </w:rPr>
      </w:pPr>
      <w:r>
        <w:rPr>
          <w:rFonts w:ascii="Calibri" w:eastAsia="Calibri" w:hAnsi="Calibri" w:cs="Calibri"/>
          <w:b/>
          <w:color w:val="12263F"/>
          <w:sz w:val="24"/>
          <w:szCs w:val="24"/>
        </w:rPr>
        <w:t>Other areas of responsibility</w:t>
      </w:r>
    </w:p>
    <w:p w14:paraId="00000036" w14:textId="77777777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SENDCo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will be required to safeguard and promote the welfare of children and young people and follow school policies and the staff code of conduct.</w:t>
      </w:r>
    </w:p>
    <w:p w14:paraId="00000037" w14:textId="580A2C25" w:rsidR="00B03C94" w:rsidRDefault="008253F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Please note that this job description is illustrative of the general nature and level of responsibility of the role. It is not a comprehensive list of all tasks that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SENDCo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will carry out.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postholder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may be required to do other duties appropriate to the level of the</w:t>
      </w:r>
      <w:r w:rsidR="002A327F">
        <w:rPr>
          <w:rFonts w:ascii="Calibri" w:eastAsia="Calibri" w:hAnsi="Calibri" w:cs="Calibri"/>
          <w:color w:val="000000"/>
          <w:sz w:val="24"/>
          <w:szCs w:val="24"/>
        </w:rPr>
        <w:t xml:space="preserve"> role, as directed by the </w:t>
      </w:r>
      <w:r>
        <w:rPr>
          <w:rFonts w:ascii="Calibri" w:eastAsia="Calibri" w:hAnsi="Calibri" w:cs="Calibri"/>
          <w:color w:val="000000"/>
          <w:sz w:val="24"/>
          <w:szCs w:val="24"/>
        </w:rPr>
        <w:t>Headteacher.</w:t>
      </w:r>
    </w:p>
    <w:sectPr w:rsidR="00B03C94">
      <w:pgSz w:w="11906" w:h="16838"/>
      <w:pgMar w:top="63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5EFB"/>
    <w:multiLevelType w:val="hybridMultilevel"/>
    <w:tmpl w:val="D940F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D0B05"/>
    <w:multiLevelType w:val="hybridMultilevel"/>
    <w:tmpl w:val="FE62AAB2"/>
    <w:lvl w:ilvl="0" w:tplc="0456D3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E2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CF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EC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2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E6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6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8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EDC"/>
    <w:multiLevelType w:val="multilevel"/>
    <w:tmpl w:val="76B45896"/>
    <w:lvl w:ilvl="0">
      <w:start w:val="1"/>
      <w:numFmt w:val="bullet"/>
      <w:pStyle w:val="4Bulletedcopyblue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9F7E8D"/>
    <w:multiLevelType w:val="multilevel"/>
    <w:tmpl w:val="98B62966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042E7F"/>
    <w:multiLevelType w:val="hybridMultilevel"/>
    <w:tmpl w:val="F6862272"/>
    <w:lvl w:ilvl="0" w:tplc="CD50F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48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09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AB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D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6F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8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C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67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57EE"/>
    <w:multiLevelType w:val="multilevel"/>
    <w:tmpl w:val="20D01116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A17E68"/>
    <w:multiLevelType w:val="multilevel"/>
    <w:tmpl w:val="84F645E0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511578"/>
    <w:multiLevelType w:val="multilevel"/>
    <w:tmpl w:val="841EFBBA"/>
    <w:lvl w:ilvl="0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F4F761F"/>
    <w:multiLevelType w:val="hybridMultilevel"/>
    <w:tmpl w:val="9F283DF2"/>
    <w:lvl w:ilvl="0" w:tplc="B860CB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6E0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08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E9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48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A9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6D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8E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2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94"/>
    <w:rsid w:val="00216A44"/>
    <w:rsid w:val="002A327F"/>
    <w:rsid w:val="002D0DC9"/>
    <w:rsid w:val="0045362B"/>
    <w:rsid w:val="004666E7"/>
    <w:rsid w:val="005440B6"/>
    <w:rsid w:val="00562AD5"/>
    <w:rsid w:val="0065155A"/>
    <w:rsid w:val="008253F7"/>
    <w:rsid w:val="00B03C94"/>
    <w:rsid w:val="0302DDA2"/>
    <w:rsid w:val="03CE9704"/>
    <w:rsid w:val="05493B28"/>
    <w:rsid w:val="08FB0E37"/>
    <w:rsid w:val="0EC8006F"/>
    <w:rsid w:val="15C72B92"/>
    <w:rsid w:val="16003D0B"/>
    <w:rsid w:val="179C0D6C"/>
    <w:rsid w:val="230803B2"/>
    <w:rsid w:val="243D91A4"/>
    <w:rsid w:val="2955EF1D"/>
    <w:rsid w:val="2B654786"/>
    <w:rsid w:val="2DC8821F"/>
    <w:rsid w:val="32FCD163"/>
    <w:rsid w:val="3478F70E"/>
    <w:rsid w:val="3C17E5EC"/>
    <w:rsid w:val="3FB41865"/>
    <w:rsid w:val="4238BF3E"/>
    <w:rsid w:val="44F092AC"/>
    <w:rsid w:val="47253085"/>
    <w:rsid w:val="48CCDBA8"/>
    <w:rsid w:val="495A8B93"/>
    <w:rsid w:val="4BDF794B"/>
    <w:rsid w:val="4D85F6E6"/>
    <w:rsid w:val="4FE03D5E"/>
    <w:rsid w:val="517C0DBF"/>
    <w:rsid w:val="52E4FBD9"/>
    <w:rsid w:val="5A5D8B5A"/>
    <w:rsid w:val="5D2CE859"/>
    <w:rsid w:val="605EC7D7"/>
    <w:rsid w:val="60B7FB9A"/>
    <w:rsid w:val="69895B9B"/>
    <w:rsid w:val="6DE6C7CA"/>
    <w:rsid w:val="74D54608"/>
    <w:rsid w:val="7A15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7A2C"/>
  <w15:docId w15:val="{E58DB874-BD63-4A5C-AED1-23AEDCA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customStyle="1" w:styleId="Normal0">
    <w:name w:val="Normal0"/>
    <w:rsid w:val="00CA7912"/>
    <w:rPr>
      <w:rFonts w:eastAsia="MS Mincho" w:cs="Times New Roman"/>
    </w:rPr>
  </w:style>
  <w:style w:type="paragraph" w:customStyle="1" w:styleId="heading10">
    <w:name w:val="heading 10"/>
    <w:aliases w:val="Subhead 1"/>
    <w:basedOn w:val="Normal0"/>
    <w:next w:val="Normal0"/>
    <w:link w:val="Heading1Char"/>
    <w:qFormat/>
    <w:rsid w:val="00CA7912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Subhead 1 Char"/>
    <w:basedOn w:val="DefaultParagraphFont"/>
    <w:link w:val="heading10"/>
    <w:rsid w:val="00CA7912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0"/>
    <w:link w:val="1bodycopy10ptChar"/>
    <w:qFormat/>
    <w:rsid w:val="00CA7912"/>
  </w:style>
  <w:style w:type="paragraph" w:customStyle="1" w:styleId="4Bulletedcopyblue">
    <w:name w:val="4 Bulleted copy blue"/>
    <w:basedOn w:val="Normal0"/>
    <w:qFormat/>
    <w:rsid w:val="00CA7912"/>
    <w:pPr>
      <w:numPr>
        <w:numId w:val="4"/>
      </w:numPr>
      <w:spacing w:after="60"/>
    </w:pPr>
    <w:rPr>
      <w:rFonts w:cs="Arial"/>
    </w:rPr>
  </w:style>
  <w:style w:type="character" w:customStyle="1" w:styleId="1bodycopy10ptChar">
    <w:name w:val="1 body copy 10pt Char"/>
    <w:link w:val="1bodycopy10pt"/>
    <w:rsid w:val="00CA7912"/>
    <w:rPr>
      <w:rFonts w:ascii="Arial" w:eastAsia="MS Mincho" w:hAnsi="Arial" w:cs="Times New Roman"/>
      <w:sz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CA7912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CA7912"/>
    <w:rPr>
      <w:rFonts w:ascii="Arial" w:eastAsia="MS Mincho" w:hAnsi="Arial" w:cs="Times New Roman"/>
      <w:b/>
      <w:color w:val="12263F"/>
      <w:lang w:val="en-US"/>
    </w:rPr>
  </w:style>
  <w:style w:type="character" w:customStyle="1" w:styleId="apple-converted-space">
    <w:name w:val="apple-converted-space"/>
    <w:basedOn w:val="DefaultParagraphFont"/>
    <w:rsid w:val="00CA7912"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871DjSfM5ser4raV7GNsXQRgA==">AMUW2mW5c2iXba3vKte/XXFOpFlp768zui0LqHAfKShIIlY2Mhual4l4QSP9ar37TMJ6rAtfZWKlmPQnz+wIJdqpolvauld9gbCmSC07/ek90e2TpwEgSYcOLiSHGy8BaYNw0FDZN1vu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NWA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Booth</dc:creator>
  <cp:lastModifiedBy>sca8752289</cp:lastModifiedBy>
  <cp:revision>2</cp:revision>
  <dcterms:created xsi:type="dcterms:W3CDTF">2022-01-24T09:21:00Z</dcterms:created>
  <dcterms:modified xsi:type="dcterms:W3CDTF">2022-01-24T09:21:00Z</dcterms:modified>
</cp:coreProperties>
</file>