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662BAB3"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4D700E" w:rsidRPr="0089421A">
        <w:rPr>
          <w:rFonts w:asciiTheme="minorHAnsi" w:eastAsia="Gill Sans MT" w:hAnsiTheme="minorHAnsi" w:cstheme="minorHAnsi"/>
          <w:b/>
          <w:color w:val="000000" w:themeColor="text1"/>
          <w:szCs w:val="24"/>
        </w:rPr>
        <w:t>Specialist Intervention Leader</w:t>
      </w:r>
      <w:r w:rsidR="00D817ED">
        <w:rPr>
          <w:rFonts w:asciiTheme="minorHAnsi" w:eastAsia="Gill Sans MT" w:hAnsiTheme="minorHAnsi" w:cstheme="minorHAnsi"/>
          <w:b/>
          <w:color w:val="000000" w:themeColor="text1"/>
          <w:szCs w:val="24"/>
        </w:rPr>
        <w:t xml:space="preserve"> (Cognition and Learning)</w:t>
      </w:r>
    </w:p>
    <w:p w14:paraId="11C43B7A" w14:textId="77777777" w:rsidR="0056537F" w:rsidRPr="002A30DA" w:rsidRDefault="0056537F" w:rsidP="006C73D7">
      <w:pPr>
        <w:pStyle w:val="NoSpacing"/>
        <w:rPr>
          <w:rFonts w:ascii="Calibri" w:hAnsi="Calibri" w:cs="Calibri"/>
          <w:b/>
          <w:szCs w:val="24"/>
        </w:rPr>
      </w:pPr>
    </w:p>
    <w:p w14:paraId="302A6B3F" w14:textId="426C1EE4"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D700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bookmarkStart w:id="0" w:name="_GoBack"/>
      <w:bookmarkEnd w:id="0"/>
    </w:p>
    <w:p w14:paraId="37D57E64" w14:textId="006F5E1E" w:rsidR="0056537F" w:rsidRPr="0089421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2BA1">
        <w:rPr>
          <w:rFonts w:ascii="Calibri" w:eastAsia="Calibri" w:hAnsi="Calibri" w:cs="Calibri"/>
          <w:b/>
          <w:color w:val="000000"/>
        </w:rPr>
        <w:t>NJC1</w:t>
      </w:r>
      <w:r w:rsidR="001B2BA1">
        <w:rPr>
          <w:rFonts w:ascii="Calibri" w:eastAsia="Calibri" w:hAnsi="Calibri" w:cs="Calibri"/>
          <w:b/>
        </w:rPr>
        <w:t>5</w:t>
      </w:r>
      <w:r w:rsidR="001B2BA1">
        <w:rPr>
          <w:rFonts w:ascii="Calibri" w:eastAsia="Calibri" w:hAnsi="Calibri" w:cs="Calibri"/>
          <w:b/>
          <w:color w:val="000000"/>
        </w:rPr>
        <w:t xml:space="preserve"> – NJC19</w:t>
      </w:r>
      <w:r w:rsidR="001B2BA1">
        <w:rPr>
          <w:rFonts w:ascii="Calibri" w:eastAsia="Calibri" w:hAnsi="Calibri" w:cs="Calibri"/>
          <w:b/>
        </w:rPr>
        <w:t xml:space="preserve"> </w:t>
      </w:r>
      <w:r w:rsidR="001B2BA1" w:rsidRPr="00256876">
        <w:rPr>
          <w:rFonts w:asciiTheme="majorHAnsi" w:eastAsia="Calibri" w:hAnsiTheme="majorHAnsi" w:cstheme="majorHAnsi"/>
          <w:b/>
        </w:rPr>
        <w:t>£22,</w:t>
      </w:r>
      <w:r w:rsidR="001B2BA1">
        <w:rPr>
          <w:rFonts w:asciiTheme="majorHAnsi" w:eastAsia="Calibri" w:hAnsiTheme="majorHAnsi" w:cstheme="majorHAnsi"/>
          <w:b/>
        </w:rPr>
        <w:t>125</w:t>
      </w:r>
      <w:r w:rsidR="001B2BA1" w:rsidRPr="00256876">
        <w:rPr>
          <w:rFonts w:asciiTheme="majorHAnsi" w:eastAsia="Calibri" w:hAnsiTheme="majorHAnsi" w:cstheme="majorHAnsi"/>
          <w:b/>
        </w:rPr>
        <w:t>-£2</w:t>
      </w:r>
      <w:r w:rsidR="001B2BA1">
        <w:rPr>
          <w:rFonts w:asciiTheme="majorHAnsi" w:eastAsia="Calibri" w:hAnsiTheme="majorHAnsi" w:cstheme="majorHAnsi"/>
          <w:b/>
        </w:rPr>
        <w:t>3</w:t>
      </w:r>
      <w:r w:rsidR="001B2BA1" w:rsidRPr="00256876">
        <w:rPr>
          <w:rFonts w:asciiTheme="majorHAnsi" w:eastAsia="Calibri" w:hAnsiTheme="majorHAnsi" w:cstheme="majorHAnsi"/>
          <w:b/>
        </w:rPr>
        <w:t>,</w:t>
      </w:r>
      <w:r w:rsidR="001B2BA1">
        <w:rPr>
          <w:rFonts w:asciiTheme="majorHAnsi" w:eastAsia="Calibri" w:hAnsiTheme="majorHAnsi" w:cstheme="majorHAnsi"/>
          <w:b/>
        </w:rPr>
        <w:t>813</w:t>
      </w:r>
    </w:p>
    <w:p w14:paraId="145E92CE" w14:textId="77777777" w:rsidR="0056537F" w:rsidRPr="0089421A" w:rsidRDefault="0056537F" w:rsidP="006C73D7">
      <w:pPr>
        <w:pStyle w:val="NoSpacing"/>
        <w:rPr>
          <w:rFonts w:ascii="Calibri" w:hAnsi="Calibri" w:cs="Calibri"/>
          <w:b/>
          <w:szCs w:val="24"/>
        </w:rPr>
      </w:pPr>
    </w:p>
    <w:p w14:paraId="0B329F76" w14:textId="3DFA87D2" w:rsidR="00F54F7E" w:rsidRPr="002A30DA" w:rsidRDefault="0056537F" w:rsidP="006C73D7">
      <w:pPr>
        <w:pStyle w:val="NoSpacing"/>
        <w:rPr>
          <w:rFonts w:ascii="Calibri" w:hAnsi="Calibri" w:cs="Calibri"/>
          <w:b/>
          <w:szCs w:val="24"/>
        </w:rPr>
      </w:pPr>
      <w:r w:rsidRPr="0089421A">
        <w:rPr>
          <w:rFonts w:ascii="Calibri" w:hAnsi="Calibri" w:cs="Calibri"/>
          <w:b/>
          <w:szCs w:val="24"/>
        </w:rPr>
        <w:t xml:space="preserve">Hours of work: </w:t>
      </w:r>
      <w:r w:rsidRPr="0089421A">
        <w:rPr>
          <w:rFonts w:ascii="Calibri" w:hAnsi="Calibri" w:cs="Calibri"/>
          <w:b/>
          <w:szCs w:val="24"/>
        </w:rPr>
        <w:tab/>
      </w:r>
      <w:r w:rsidR="002856CE">
        <w:rPr>
          <w:rFonts w:ascii="Calibri" w:hAnsi="Calibri" w:cs="Calibri"/>
          <w:b/>
          <w:i/>
          <w:szCs w:val="24"/>
        </w:rPr>
        <w:t>Full Time (37hrs), Term Time Only</w:t>
      </w:r>
      <w:r w:rsidRPr="0089421A">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50D0F7FA"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1206CE">
        <w:rPr>
          <w:rFonts w:ascii="Calibri" w:hAnsi="Calibri" w:cs="Calibri"/>
          <w:b/>
          <w:szCs w:val="24"/>
        </w:rPr>
        <w:t>SENCO/Deputy 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609FC2E9" w:rsidR="006C73D7" w:rsidRDefault="006C73D7" w:rsidP="006C73D7">
      <w:pPr>
        <w:jc w:val="both"/>
        <w:rPr>
          <w:rFonts w:ascii="Calibri" w:hAnsi="Calibri"/>
          <w:b/>
          <w:szCs w:val="24"/>
        </w:rPr>
      </w:pPr>
    </w:p>
    <w:p w14:paraId="1C941568" w14:textId="77777777" w:rsidR="001206CE" w:rsidRPr="0089421A" w:rsidRDefault="001206CE" w:rsidP="0089421A">
      <w:pPr>
        <w:spacing w:after="44"/>
        <w:contextualSpacing/>
        <w:rPr>
          <w:rFonts w:asciiTheme="minorHAnsi" w:eastAsia="Gill Sans MT" w:hAnsiTheme="minorHAnsi" w:cstheme="minorHAnsi"/>
          <w:szCs w:val="24"/>
        </w:rPr>
      </w:pPr>
      <w:r w:rsidRPr="0089421A">
        <w:rPr>
          <w:rFonts w:asciiTheme="minorHAnsi" w:eastAsia="Gill Sans MT" w:hAnsiTheme="minorHAnsi" w:cstheme="minorHAnsi"/>
          <w:szCs w:val="24"/>
        </w:rPr>
        <w:t xml:space="preserve">The Specialist Intervention Learning Support Assistant is responsible for: </w:t>
      </w:r>
    </w:p>
    <w:p w14:paraId="19685014"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Liaising with cognition and learning team and other agencies for specialised support.</w:t>
      </w:r>
    </w:p>
    <w:p w14:paraId="51D4C73C"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Running Learning Support Area/Time Out Provision</w:t>
      </w:r>
    </w:p>
    <w:p w14:paraId="6AEC3CEF" w14:textId="043D653F"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lang w:val="en-US"/>
        </w:rPr>
        <w:t>In</w:t>
      </w:r>
      <w:r w:rsidR="0089421A">
        <w:rPr>
          <w:rFonts w:asciiTheme="minorHAnsi" w:eastAsia="Times New Roman" w:hAnsiTheme="minorHAnsi" w:cstheme="minorHAnsi"/>
          <w:szCs w:val="24"/>
        </w:rPr>
        <w:t>tervention</w:t>
      </w:r>
      <w:r w:rsidRPr="001206CE">
        <w:rPr>
          <w:rFonts w:asciiTheme="minorHAnsi" w:eastAsia="Times New Roman" w:hAnsiTheme="minorHAnsi" w:cstheme="minorHAnsi"/>
          <w:szCs w:val="24"/>
        </w:rPr>
        <w:t xml:space="preserve"> manager – monitoring progress and provision of all interventions through </w:t>
      </w:r>
      <w:r w:rsidR="004A339B" w:rsidRPr="001B20C5">
        <w:rPr>
          <w:rFonts w:asciiTheme="minorHAnsi" w:eastAsia="Times New Roman" w:hAnsiTheme="minorHAnsi" w:cstheme="minorHAnsi"/>
          <w:szCs w:val="24"/>
        </w:rPr>
        <w:t>the appropriate systems</w:t>
      </w:r>
      <w:r w:rsidRPr="001B20C5">
        <w:rPr>
          <w:rFonts w:asciiTheme="minorHAnsi" w:eastAsia="Times New Roman" w:hAnsiTheme="minorHAnsi" w:cstheme="minorHAnsi"/>
          <w:szCs w:val="24"/>
        </w:rPr>
        <w:t>.</w:t>
      </w:r>
    </w:p>
    <w:p w14:paraId="03EA8B7F"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Co-ordination Timetables and rotas for pupils with Sen and staffing.</w:t>
      </w:r>
    </w:p>
    <w:p w14:paraId="57F6458D" w14:textId="77777777" w:rsidR="001206CE" w:rsidRPr="009F0E4B" w:rsidRDefault="001206CE" w:rsidP="001206CE">
      <w:pPr>
        <w:pStyle w:val="ListParagraph"/>
        <w:numPr>
          <w:ilvl w:val="0"/>
          <w:numId w:val="16"/>
        </w:numPr>
        <w:contextualSpacing/>
        <w:rPr>
          <w:rFonts w:asciiTheme="minorHAnsi" w:eastAsia="Times New Roman" w:hAnsiTheme="minorHAnsi" w:cstheme="minorHAnsi"/>
          <w:szCs w:val="24"/>
        </w:rPr>
      </w:pPr>
      <w:r w:rsidRPr="009F0E4B">
        <w:rPr>
          <w:rFonts w:asciiTheme="minorHAnsi" w:eastAsia="Times New Roman" w:hAnsiTheme="minorHAnsi" w:cstheme="minorHAnsi"/>
          <w:szCs w:val="24"/>
        </w:rPr>
        <w:t>Linked with Maths, IT and Science- linked with SEND leaders</w:t>
      </w:r>
    </w:p>
    <w:p w14:paraId="1DD717D4"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Numeracy interventions.</w:t>
      </w:r>
    </w:p>
    <w:p w14:paraId="5FB9DF2E" w14:textId="77777777"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Times New Roman" w:hAnsiTheme="minorHAnsi" w:cstheme="minorHAnsi"/>
          <w:szCs w:val="24"/>
        </w:rPr>
        <w:t>Assess and review plans with parents</w:t>
      </w:r>
      <w:r w:rsidRPr="001206CE">
        <w:rPr>
          <w:rFonts w:asciiTheme="minorHAnsi" w:eastAsia="Gill Sans MT" w:hAnsiTheme="minorHAnsi" w:cstheme="minorHAnsi"/>
          <w:szCs w:val="24"/>
        </w:rPr>
        <w:t xml:space="preserve"> </w:t>
      </w:r>
    </w:p>
    <w:p w14:paraId="78B3C644" w14:textId="158C6693" w:rsidR="001206CE" w:rsidRPr="001206CE" w:rsidRDefault="001206CE" w:rsidP="001206CE">
      <w:pPr>
        <w:pStyle w:val="ListParagraph"/>
        <w:numPr>
          <w:ilvl w:val="0"/>
          <w:numId w:val="16"/>
        </w:numPr>
        <w:contextualSpacing/>
        <w:rPr>
          <w:rFonts w:asciiTheme="minorHAnsi" w:eastAsia="Times New Roman" w:hAnsiTheme="minorHAnsi" w:cstheme="minorHAnsi"/>
          <w:szCs w:val="24"/>
        </w:rPr>
      </w:pPr>
      <w:r w:rsidRPr="001206CE">
        <w:rPr>
          <w:rFonts w:asciiTheme="minorHAnsi" w:eastAsia="Gill Sans MT" w:hAnsiTheme="minorHAnsi" w:cstheme="minorHAnsi"/>
          <w:szCs w:val="24"/>
        </w:rPr>
        <w:t xml:space="preserve">Management and development of areas of </w:t>
      </w:r>
      <w:r w:rsidR="004A339B">
        <w:rPr>
          <w:rFonts w:asciiTheme="minorHAnsi" w:eastAsia="Gill Sans MT" w:hAnsiTheme="minorHAnsi" w:cstheme="minorHAnsi"/>
          <w:szCs w:val="24"/>
        </w:rPr>
        <w:t>Cognition and Learning</w:t>
      </w:r>
    </w:p>
    <w:p w14:paraId="23CA27C0" w14:textId="4CF1DA64" w:rsidR="001206CE" w:rsidRPr="001206CE" w:rsidRDefault="004A339B" w:rsidP="001206CE">
      <w:pPr>
        <w:pStyle w:val="ListParagraph"/>
        <w:numPr>
          <w:ilvl w:val="0"/>
          <w:numId w:val="16"/>
        </w:numPr>
        <w:spacing w:after="3"/>
        <w:contextualSpacing/>
        <w:rPr>
          <w:rFonts w:asciiTheme="minorHAnsi" w:hAnsiTheme="minorHAnsi" w:cstheme="minorHAnsi"/>
          <w:szCs w:val="24"/>
        </w:rPr>
      </w:pPr>
      <w:r>
        <w:rPr>
          <w:rFonts w:asciiTheme="minorHAnsi" w:eastAsia="Gill Sans MT" w:hAnsiTheme="minorHAnsi" w:cstheme="minorHAnsi"/>
          <w:szCs w:val="24"/>
        </w:rPr>
        <w:t>M</w:t>
      </w:r>
      <w:r w:rsidR="001206CE" w:rsidRPr="001206CE">
        <w:rPr>
          <w:rFonts w:asciiTheme="minorHAnsi" w:eastAsia="Gill Sans MT" w:hAnsiTheme="minorHAnsi" w:cstheme="minorHAnsi"/>
          <w:szCs w:val="24"/>
        </w:rPr>
        <w:t xml:space="preserve">anaging a caseload of pupils </w:t>
      </w:r>
    </w:p>
    <w:p w14:paraId="1D63ACC5" w14:textId="77777777" w:rsidR="001206CE" w:rsidRPr="001206CE" w:rsidRDefault="001206CE" w:rsidP="001206CE">
      <w:pPr>
        <w:pStyle w:val="ListParagraph"/>
        <w:numPr>
          <w:ilvl w:val="0"/>
          <w:numId w:val="16"/>
        </w:numPr>
        <w:spacing w:after="69"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Working proactively with parents/carers, teaching, pastoral and support staff to ensure pupils’ needs are fully identified </w:t>
      </w:r>
    </w:p>
    <w:p w14:paraId="13E7C801" w14:textId="77777777" w:rsidR="001206CE" w:rsidRPr="001206CE" w:rsidRDefault="001206CE" w:rsidP="001206CE">
      <w:pPr>
        <w:pStyle w:val="ListParagraph"/>
        <w:numPr>
          <w:ilvl w:val="0"/>
          <w:numId w:val="16"/>
        </w:numPr>
        <w:spacing w:after="70" w:line="237"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Contributing to raising standards of student attainment and achievement within the Academy </w:t>
      </w:r>
    </w:p>
    <w:p w14:paraId="3DF077F3" w14:textId="77777777" w:rsidR="001206CE" w:rsidRPr="001206CE" w:rsidRDefault="001206CE" w:rsidP="001206CE">
      <w:pPr>
        <w:pStyle w:val="ListParagraph"/>
        <w:numPr>
          <w:ilvl w:val="0"/>
          <w:numId w:val="16"/>
        </w:numPr>
        <w:spacing w:line="261"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Raising the aspiration and attainment of students through coaching and mentoring </w:t>
      </w:r>
      <w:r w:rsidRPr="001206CE">
        <w:rPr>
          <w:rFonts w:asciiTheme="minorHAnsi" w:eastAsia="Arial" w:hAnsiTheme="minorHAnsi" w:cstheme="minorHAnsi"/>
          <w:szCs w:val="24"/>
        </w:rPr>
        <w:t xml:space="preserve"> </w:t>
      </w:r>
    </w:p>
    <w:p w14:paraId="4D3677D9" w14:textId="77777777" w:rsidR="001206CE" w:rsidRPr="001206CE" w:rsidRDefault="001206CE" w:rsidP="001206CE">
      <w:pPr>
        <w:pStyle w:val="ListParagraph"/>
        <w:numPr>
          <w:ilvl w:val="0"/>
          <w:numId w:val="16"/>
        </w:numPr>
        <w:spacing w:line="261" w:lineRule="auto"/>
        <w:contextualSpacing/>
        <w:rPr>
          <w:rFonts w:asciiTheme="minorHAnsi" w:hAnsiTheme="minorHAnsi" w:cstheme="minorHAnsi"/>
          <w:szCs w:val="24"/>
        </w:rPr>
      </w:pPr>
      <w:r w:rsidRPr="001206CE">
        <w:rPr>
          <w:rFonts w:asciiTheme="minorHAnsi" w:eastAsia="Arial" w:hAnsiTheme="minorHAnsi" w:cstheme="minorHAnsi"/>
          <w:szCs w:val="24"/>
        </w:rPr>
        <w:t>S</w:t>
      </w:r>
      <w:r w:rsidRPr="001206CE">
        <w:rPr>
          <w:rFonts w:asciiTheme="minorHAnsi" w:eastAsia="Gill Sans MT" w:hAnsiTheme="minorHAnsi" w:cstheme="minorHAnsi"/>
          <w:szCs w:val="24"/>
        </w:rPr>
        <w:t xml:space="preserve">haring best practice in order to develop and enhance the performance of others </w:t>
      </w:r>
      <w:r w:rsidRPr="001206CE">
        <w:rPr>
          <w:rFonts w:asciiTheme="minorHAnsi" w:eastAsia="Arial" w:hAnsiTheme="minorHAnsi" w:cstheme="minorHAnsi"/>
          <w:szCs w:val="24"/>
        </w:rPr>
        <w:t>assisting</w:t>
      </w:r>
      <w:r w:rsidRPr="001206CE">
        <w:rPr>
          <w:rFonts w:asciiTheme="minorHAnsi" w:eastAsia="Gill Sans MT" w:hAnsiTheme="minorHAnsi" w:cstheme="minorHAnsi"/>
          <w:szCs w:val="24"/>
        </w:rPr>
        <w:t xml:space="preserve"> the SENCO and Deputy SENCO in leading high quality SEND provision  </w:t>
      </w:r>
    </w:p>
    <w:p w14:paraId="3DA0A01E" w14:textId="77777777" w:rsidR="001206CE" w:rsidRPr="001206CE" w:rsidRDefault="001206CE" w:rsidP="001206CE">
      <w:pPr>
        <w:pStyle w:val="ListParagraph"/>
        <w:numPr>
          <w:ilvl w:val="0"/>
          <w:numId w:val="16"/>
        </w:numPr>
        <w:spacing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Deputising for the Deputy SENCO and line managing learning support assistants within the Inclusion team </w:t>
      </w:r>
    </w:p>
    <w:p w14:paraId="6C055C01" w14:textId="77777777" w:rsidR="001206CE" w:rsidRPr="006C73D7" w:rsidRDefault="001206CE" w:rsidP="006C73D7">
      <w:pPr>
        <w:jc w:val="both"/>
        <w:rPr>
          <w:rFonts w:ascii="Calibri" w:hAnsi="Calibri"/>
          <w:b/>
          <w:szCs w:val="24"/>
        </w:rPr>
      </w:pP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45C068AE"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5540312" w:rsidR="006C73D7" w:rsidRDefault="006C73D7" w:rsidP="006C73D7">
      <w:pPr>
        <w:jc w:val="both"/>
        <w:rPr>
          <w:rFonts w:ascii="Calibri" w:hAnsi="Calibri"/>
          <w:b/>
          <w:szCs w:val="24"/>
        </w:rPr>
      </w:pPr>
    </w:p>
    <w:p w14:paraId="26646E65" w14:textId="77777777" w:rsidR="004A339B" w:rsidRDefault="004A339B" w:rsidP="006C73D7">
      <w:pPr>
        <w:jc w:val="both"/>
        <w:rPr>
          <w:rFonts w:ascii="Calibri" w:hAnsi="Calibri"/>
          <w:b/>
          <w:bCs/>
          <w:szCs w:val="24"/>
        </w:rPr>
      </w:pPr>
    </w:p>
    <w:p w14:paraId="75CFF394" w14:textId="77777777" w:rsidR="004A339B" w:rsidRDefault="004A339B" w:rsidP="006C73D7">
      <w:pPr>
        <w:jc w:val="both"/>
        <w:rPr>
          <w:rFonts w:ascii="Calibri" w:hAnsi="Calibri"/>
          <w:b/>
          <w:bCs/>
          <w:szCs w:val="24"/>
        </w:rPr>
      </w:pPr>
    </w:p>
    <w:p w14:paraId="4FECC49D" w14:textId="75EBE57D"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512AACB6" w:rsidR="006C73D7" w:rsidRDefault="002125C5" w:rsidP="006C73D7">
      <w:pPr>
        <w:jc w:val="both"/>
        <w:rPr>
          <w:rFonts w:ascii="Calibri" w:hAnsi="Calibri"/>
          <w:szCs w:val="24"/>
        </w:rPr>
      </w:pPr>
      <w:r>
        <w:rPr>
          <w:rFonts w:ascii="Calibri" w:hAnsi="Calibri"/>
          <w:szCs w:val="24"/>
        </w:rPr>
        <w:lastRenderedPageBreak/>
        <w:t>S</w:t>
      </w:r>
      <w:r w:rsidR="006C73D7" w:rsidRPr="006C73D7">
        <w:rPr>
          <w:rFonts w:ascii="Calibri" w:hAnsi="Calibri"/>
          <w:szCs w:val="24"/>
        </w:rPr>
        <w:t>pecific responsibilities include:</w:t>
      </w:r>
    </w:p>
    <w:p w14:paraId="7FA79778" w14:textId="77777777" w:rsidR="001206CE" w:rsidRPr="001206CE" w:rsidRDefault="001206CE" w:rsidP="001206CE">
      <w:pPr>
        <w:pStyle w:val="ListParagraph"/>
        <w:numPr>
          <w:ilvl w:val="0"/>
          <w:numId w:val="17"/>
        </w:numPr>
        <w:spacing w:after="69" w:line="238"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Support teachers within the classroom and work with small groups of students on a one to one basis. </w:t>
      </w:r>
    </w:p>
    <w:p w14:paraId="5B6AE016" w14:textId="77777777" w:rsidR="001206CE" w:rsidRPr="001206CE" w:rsidRDefault="001206CE" w:rsidP="001206CE">
      <w:pPr>
        <w:pStyle w:val="ListParagraph"/>
        <w:numPr>
          <w:ilvl w:val="0"/>
          <w:numId w:val="17"/>
        </w:numPr>
        <w:spacing w:after="70" w:line="237" w:lineRule="auto"/>
        <w:contextualSpacing/>
        <w:rPr>
          <w:rFonts w:asciiTheme="minorHAnsi" w:hAnsiTheme="minorHAnsi" w:cstheme="minorHAnsi"/>
          <w:szCs w:val="24"/>
        </w:rPr>
      </w:pPr>
      <w:r w:rsidRPr="001206CE">
        <w:rPr>
          <w:rFonts w:asciiTheme="minorHAnsi" w:eastAsia="Gill Sans MT" w:hAnsiTheme="minorHAnsi" w:cstheme="minorHAnsi"/>
          <w:szCs w:val="24"/>
        </w:rPr>
        <w:t xml:space="preserve">Work with teaching staff to ensure students are able to access effective learning within the classroom. </w:t>
      </w:r>
    </w:p>
    <w:p w14:paraId="2B9E5FAD" w14:textId="77777777" w:rsidR="001206CE" w:rsidRPr="001206CE" w:rsidRDefault="001206CE" w:rsidP="001206CE">
      <w:pPr>
        <w:pStyle w:val="ListParagraph"/>
        <w:numPr>
          <w:ilvl w:val="0"/>
          <w:numId w:val="17"/>
        </w:numPr>
        <w:spacing w:after="44"/>
        <w:rPr>
          <w:rFonts w:asciiTheme="minorHAnsi" w:hAnsiTheme="minorHAnsi" w:cstheme="minorHAnsi"/>
          <w:szCs w:val="24"/>
        </w:rPr>
      </w:pPr>
      <w:r w:rsidRPr="001206CE">
        <w:rPr>
          <w:rFonts w:asciiTheme="minorHAnsi" w:eastAsia="Gill Sans MT" w:hAnsiTheme="minorHAnsi" w:cstheme="minorHAnsi"/>
          <w:szCs w:val="24"/>
        </w:rPr>
        <w:t xml:space="preserve">Carry out specific small group and individual teaching for students with additional needs, including assessing students. </w:t>
      </w:r>
    </w:p>
    <w:p w14:paraId="04D836A7"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Record the outcome of student assessments of progress in intervention on a regular basis so that records are always up to date and impact is measured. </w:t>
      </w:r>
    </w:p>
    <w:p w14:paraId="75B54C9A"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Keep accurate records and input and extract information and data from the academy’s database and systems. </w:t>
      </w:r>
    </w:p>
    <w:p w14:paraId="4748A908"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Support the development and monitoring of support plans and Education Health Care Plans (EHCPs). </w:t>
      </w:r>
    </w:p>
    <w:p w14:paraId="49895FC3"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Communicate regularly and effectively with the parents/carers of students with SEND, providing regular updates on student progress.  </w:t>
      </w:r>
    </w:p>
    <w:p w14:paraId="362B9D19"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Hold regular meetings and reviews with parents/carers and relevant agencies. </w:t>
      </w:r>
    </w:p>
    <w:p w14:paraId="42369914"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Communicate regularly and effectively with staff to collect information and disseminate data and up to date information about students. </w:t>
      </w:r>
    </w:p>
    <w:p w14:paraId="439B7BAB"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Work with the SENCO and Deputy SENCO and Exams Officer (as required) to ensure that students receive the support they are entitled to for examinations. </w:t>
      </w:r>
    </w:p>
    <w:p w14:paraId="3EE41C13"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Supervise students during examinations, breaks, lunchtimes and other unstructured times when required. </w:t>
      </w:r>
    </w:p>
    <w:p w14:paraId="5015CD48"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Conduct home visits and meet with pupils, parents and other agencies outside of the Academy when necessary. </w:t>
      </w:r>
    </w:p>
    <w:p w14:paraId="6F712ED3"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pupils with medical conditions and ensure accurate records are kept. </w:t>
      </w:r>
    </w:p>
    <w:p w14:paraId="641E5587"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Attend Parents Evenings and SEN drop-ins as needed to meet with parents of students with SEND. </w:t>
      </w:r>
    </w:p>
    <w:p w14:paraId="7AC40610"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and promote productive relationships with students, acting as a role model and setting high expectations. </w:t>
      </w:r>
    </w:p>
    <w:p w14:paraId="4D2994D7"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constructive relationships and communicate with relevant staff to support students’ learning and progress. </w:t>
      </w:r>
    </w:p>
    <w:p w14:paraId="4F3FCDDA"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Promote the social and emotional development of students. </w:t>
      </w:r>
    </w:p>
    <w:p w14:paraId="5DC9048D"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Accompany students on educational visits and other off-site activities as required. </w:t>
      </w:r>
    </w:p>
    <w:p w14:paraId="03C085B2"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Work collaboratively with all staff in order to extend the learning opportunities of all students. </w:t>
      </w:r>
    </w:p>
    <w:p w14:paraId="0BD5A36E"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Establish working relationships with external agencies to support students as appropriate and attend multi-agency meetings as appropriate.  </w:t>
      </w:r>
    </w:p>
    <w:p w14:paraId="1DEB7B6B" w14:textId="77777777" w:rsidR="001206CE" w:rsidRPr="001206CE" w:rsidRDefault="001206CE" w:rsidP="001206CE">
      <w:pPr>
        <w:numPr>
          <w:ilvl w:val="0"/>
          <w:numId w:val="17"/>
        </w:numPr>
        <w:spacing w:after="70" w:line="237" w:lineRule="auto"/>
        <w:rPr>
          <w:rFonts w:asciiTheme="minorHAnsi" w:hAnsiTheme="minorHAnsi" w:cstheme="minorHAnsi"/>
          <w:szCs w:val="24"/>
        </w:rPr>
      </w:pPr>
      <w:r w:rsidRPr="001206CE">
        <w:rPr>
          <w:rFonts w:asciiTheme="minorHAnsi" w:eastAsia="Gill Sans MT" w:hAnsiTheme="minorHAnsi" w:cstheme="minorHAnsi"/>
          <w:szCs w:val="24"/>
        </w:rPr>
        <w:t xml:space="preserve">Be responsible for referring to outside agencies for additional support, including early help referrals. </w:t>
      </w:r>
    </w:p>
    <w:p w14:paraId="6DEA8425"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Deal with responses for requests for information from professionals in a timely manner and with meticulous attention to detail. </w:t>
      </w:r>
    </w:p>
    <w:p w14:paraId="58DC7C32"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Take and keep accurate records of minutes of meetings. </w:t>
      </w:r>
    </w:p>
    <w:p w14:paraId="1D9574A4"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pupils with transition to/from the academy as required. </w:t>
      </w:r>
    </w:p>
    <w:p w14:paraId="09A86F54" w14:textId="77777777" w:rsidR="001206CE" w:rsidRPr="001206CE" w:rsidRDefault="001206CE" w:rsidP="001206CE">
      <w:pPr>
        <w:numPr>
          <w:ilvl w:val="0"/>
          <w:numId w:val="17"/>
        </w:numPr>
        <w:spacing w:after="69" w:line="238" w:lineRule="auto"/>
        <w:rPr>
          <w:rFonts w:asciiTheme="minorHAnsi" w:hAnsiTheme="minorHAnsi" w:cstheme="minorHAnsi"/>
          <w:szCs w:val="24"/>
        </w:rPr>
      </w:pPr>
      <w:r w:rsidRPr="001206CE">
        <w:rPr>
          <w:rFonts w:asciiTheme="minorHAnsi" w:eastAsia="Gill Sans MT" w:hAnsiTheme="minorHAnsi" w:cstheme="minorHAnsi"/>
          <w:szCs w:val="24"/>
        </w:rPr>
        <w:t xml:space="preserve">Keep diary up to date in liaison with the Inclusion administration, SENCO and Deputy SENCO. </w:t>
      </w:r>
    </w:p>
    <w:p w14:paraId="1DC3A263" w14:textId="77777777" w:rsidR="001206CE" w:rsidRPr="001206CE" w:rsidRDefault="001206CE" w:rsidP="001206CE">
      <w:pPr>
        <w:numPr>
          <w:ilvl w:val="0"/>
          <w:numId w:val="17"/>
        </w:numPr>
        <w:spacing w:after="3" w:line="259" w:lineRule="auto"/>
        <w:rPr>
          <w:rFonts w:asciiTheme="minorHAnsi" w:hAnsiTheme="minorHAnsi" w:cstheme="minorHAnsi"/>
          <w:szCs w:val="24"/>
        </w:rPr>
      </w:pPr>
      <w:r w:rsidRPr="001206CE">
        <w:rPr>
          <w:rFonts w:asciiTheme="minorHAnsi" w:eastAsia="Gill Sans MT" w:hAnsiTheme="minorHAnsi" w:cstheme="minorHAnsi"/>
          <w:szCs w:val="24"/>
        </w:rPr>
        <w:t xml:space="preserve">Support the SENCO and Deputy SENCO in preparing and delivering CPD. </w:t>
      </w:r>
    </w:p>
    <w:p w14:paraId="753984A2" w14:textId="77777777" w:rsidR="001206CE" w:rsidRPr="001206CE" w:rsidRDefault="001206CE" w:rsidP="001206CE">
      <w:pPr>
        <w:numPr>
          <w:ilvl w:val="0"/>
          <w:numId w:val="17"/>
        </w:numPr>
        <w:spacing w:after="240" w:line="238" w:lineRule="auto"/>
        <w:rPr>
          <w:rFonts w:asciiTheme="minorHAnsi" w:hAnsiTheme="minorHAnsi" w:cstheme="minorHAnsi"/>
          <w:szCs w:val="24"/>
        </w:rPr>
      </w:pPr>
      <w:r w:rsidRPr="001206CE">
        <w:rPr>
          <w:rFonts w:asciiTheme="minorHAnsi" w:eastAsia="Gill Sans MT" w:hAnsiTheme="minorHAnsi" w:cstheme="minorHAnsi"/>
          <w:szCs w:val="24"/>
        </w:rPr>
        <w:lastRenderedPageBreak/>
        <w:t xml:space="preserve">Work closely with the Safeguarding Lead and Deputy to ensure effective safeguarding of all children, in particular vulnerable groups. </w:t>
      </w:r>
    </w:p>
    <w:p w14:paraId="28ACE226" w14:textId="7225B504" w:rsidR="0070096D" w:rsidRDefault="0070096D" w:rsidP="006C73D7">
      <w:pPr>
        <w:jc w:val="both"/>
        <w:rPr>
          <w:rFonts w:ascii="Calibri" w:hAnsi="Calibri"/>
          <w:szCs w:val="24"/>
        </w:rPr>
      </w:pP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1206CE" w:rsidRPr="0025594D" w14:paraId="68AD4AC4" w14:textId="77777777" w:rsidTr="00B44961">
        <w:tc>
          <w:tcPr>
            <w:tcW w:w="6353" w:type="dxa"/>
            <w:shd w:val="clear" w:color="auto" w:fill="auto"/>
          </w:tcPr>
          <w:p w14:paraId="5A174DBB" w14:textId="77777777" w:rsidR="001206CE" w:rsidRPr="00FA4E33" w:rsidRDefault="001206CE" w:rsidP="001206CE">
            <w:pPr>
              <w:numPr>
                <w:ilvl w:val="0"/>
                <w:numId w:val="19"/>
              </w:numPr>
              <w:spacing w:after="58"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Good standard of education especially with regard to literacy and numeracy skills. </w:t>
            </w:r>
          </w:p>
          <w:p w14:paraId="4B0DF64B"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GCSE Maths and English grade C or equivalent </w:t>
            </w:r>
          </w:p>
          <w:p w14:paraId="71AE82A5" w14:textId="0DDBC698" w:rsidR="001206CE" w:rsidRPr="00FA4E33" w:rsidRDefault="001206CE" w:rsidP="001206CE">
            <w:pPr>
              <w:numPr>
                <w:ilvl w:val="0"/>
                <w:numId w:val="19"/>
              </w:numPr>
              <w:spacing w:after="57"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NVQ Level 3 or 4 for Teaching Assistants, a teaching qualification, degree or equivalent  </w:t>
            </w:r>
          </w:p>
          <w:p w14:paraId="4ED6E741"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managing staff </w:t>
            </w:r>
          </w:p>
          <w:p w14:paraId="2572976F" w14:textId="77777777" w:rsidR="001206CE" w:rsidRPr="00FA4E33" w:rsidRDefault="001206CE" w:rsidP="001206CE">
            <w:pPr>
              <w:numPr>
                <w:ilvl w:val="0"/>
                <w:numId w:val="19"/>
              </w:numPr>
              <w:spacing w:after="1"/>
              <w:ind w:left="291" w:hanging="284"/>
              <w:rPr>
                <w:rFonts w:asciiTheme="minorHAnsi" w:hAnsiTheme="minorHAnsi" w:cstheme="minorHAnsi"/>
                <w:sz w:val="20"/>
              </w:rPr>
            </w:pPr>
            <w:r w:rsidRPr="00FA4E33">
              <w:rPr>
                <w:rFonts w:asciiTheme="minorHAnsi" w:eastAsia="Gill Sans MT" w:hAnsiTheme="minorHAnsi" w:cstheme="minorHAnsi"/>
                <w:sz w:val="20"/>
              </w:rPr>
              <w:t xml:space="preserve">Understanding of National and Local Policies for SEND </w:t>
            </w:r>
          </w:p>
          <w:p w14:paraId="3828499A"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Previous experience in an education environment  </w:t>
            </w:r>
          </w:p>
          <w:p w14:paraId="7C9C6F56"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working with students, parents and professionals  </w:t>
            </w:r>
          </w:p>
          <w:p w14:paraId="186820A5" w14:textId="77777777" w:rsidR="001206CE" w:rsidRPr="00FA4E33" w:rsidRDefault="001206CE" w:rsidP="001206CE">
            <w:pPr>
              <w:numPr>
                <w:ilvl w:val="0"/>
                <w:numId w:val="19"/>
              </w:numPr>
              <w:spacing w:after="2"/>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of training and knowledge in relation to the code of practice  </w:t>
            </w:r>
          </w:p>
          <w:p w14:paraId="6DB90AB8" w14:textId="77777777" w:rsidR="001206CE" w:rsidRPr="00FA4E33" w:rsidRDefault="001206CE" w:rsidP="001206CE">
            <w:pPr>
              <w:numPr>
                <w:ilvl w:val="0"/>
                <w:numId w:val="19"/>
              </w:numPr>
              <w:spacing w:line="237" w:lineRule="auto"/>
              <w:ind w:left="291" w:hanging="284"/>
              <w:rPr>
                <w:rFonts w:asciiTheme="minorHAnsi" w:hAnsiTheme="minorHAnsi" w:cstheme="minorHAnsi"/>
                <w:sz w:val="20"/>
              </w:rPr>
            </w:pPr>
            <w:r w:rsidRPr="00FA4E33">
              <w:rPr>
                <w:rFonts w:asciiTheme="minorHAnsi" w:eastAsia="Gill Sans MT" w:hAnsiTheme="minorHAnsi" w:cstheme="minorHAnsi"/>
                <w:sz w:val="20"/>
              </w:rPr>
              <w:t xml:space="preserve">Experience and understanding of safeguarding and child protection procedures </w:t>
            </w:r>
          </w:p>
          <w:p w14:paraId="7EA2A409" w14:textId="6EDD1832" w:rsidR="001206CE" w:rsidRPr="004B3A2A" w:rsidRDefault="001206CE" w:rsidP="001206CE">
            <w:pPr>
              <w:pStyle w:val="NoSpacing"/>
              <w:rPr>
                <w:rFonts w:ascii="Calibri" w:hAnsi="Calibri"/>
                <w:sz w:val="18"/>
                <w:szCs w:val="18"/>
                <w:lang w:eastAsia="en-GB"/>
              </w:rPr>
            </w:pPr>
            <w:r w:rsidRPr="00FA4E33">
              <w:rPr>
                <w:rFonts w:asciiTheme="minorHAnsi" w:eastAsia="Gill Sans MT" w:hAnsiTheme="minorHAnsi" w:cstheme="minorHAnsi"/>
                <w:sz w:val="20"/>
              </w:rPr>
              <w:t xml:space="preserve"> </w:t>
            </w:r>
          </w:p>
        </w:tc>
        <w:tc>
          <w:tcPr>
            <w:tcW w:w="1559" w:type="dxa"/>
            <w:shd w:val="clear" w:color="auto" w:fill="auto"/>
          </w:tcPr>
          <w:p w14:paraId="32F630F9" w14:textId="77777777" w:rsidR="001206CE" w:rsidRPr="00FA4E33" w:rsidRDefault="001206CE" w:rsidP="001206CE">
            <w:pPr>
              <w:ind w:left="175"/>
              <w:jc w:val="center"/>
            </w:pPr>
            <w:r w:rsidRPr="00FA4E33">
              <w:rPr>
                <w:rFonts w:ascii="Wingdings" w:eastAsia="Wingdings" w:hAnsi="Wingdings" w:cs="Wingdings"/>
                <w:sz w:val="20"/>
              </w:rPr>
              <w:t></w:t>
            </w:r>
          </w:p>
          <w:p w14:paraId="29C18F35" w14:textId="77777777" w:rsidR="001206CE" w:rsidRPr="00FA4E33" w:rsidRDefault="001206CE" w:rsidP="001206CE">
            <w:pPr>
              <w:jc w:val="center"/>
            </w:pPr>
          </w:p>
          <w:p w14:paraId="019FBA6D" w14:textId="77777777" w:rsidR="001206CE" w:rsidRPr="00FA4E33" w:rsidRDefault="001206CE" w:rsidP="001206CE">
            <w:pPr>
              <w:ind w:left="175"/>
              <w:jc w:val="center"/>
            </w:pPr>
          </w:p>
          <w:p w14:paraId="67BF96BA" w14:textId="77777777" w:rsidR="001206CE" w:rsidRPr="00FA4E33" w:rsidRDefault="001206CE" w:rsidP="001206CE">
            <w:pPr>
              <w:ind w:left="175"/>
              <w:jc w:val="center"/>
            </w:pPr>
          </w:p>
          <w:p w14:paraId="3C064114" w14:textId="77777777" w:rsidR="001206CE" w:rsidRPr="00FA4E33" w:rsidRDefault="001206CE" w:rsidP="001206CE">
            <w:pPr>
              <w:ind w:left="175"/>
              <w:jc w:val="center"/>
            </w:pPr>
          </w:p>
          <w:p w14:paraId="56FB6399" w14:textId="77777777" w:rsidR="001206CE" w:rsidRPr="00FA4E33" w:rsidRDefault="001206CE" w:rsidP="001206CE">
            <w:pPr>
              <w:jc w:val="center"/>
            </w:pPr>
          </w:p>
          <w:p w14:paraId="0528BB6E" w14:textId="77777777" w:rsidR="001206CE" w:rsidRPr="00FA4E33" w:rsidRDefault="001206CE" w:rsidP="001206CE">
            <w:pPr>
              <w:spacing w:after="2"/>
              <w:jc w:val="center"/>
            </w:pPr>
          </w:p>
          <w:p w14:paraId="06AB0C15" w14:textId="77777777" w:rsidR="001206CE" w:rsidRPr="00FA4E33" w:rsidRDefault="001206CE" w:rsidP="001206CE">
            <w:pPr>
              <w:jc w:val="center"/>
            </w:pPr>
            <w:r w:rsidRPr="00FA4E33">
              <w:rPr>
                <w:rFonts w:ascii="Wingdings" w:eastAsia="Wingdings" w:hAnsi="Wingdings" w:cs="Wingdings"/>
                <w:sz w:val="20"/>
              </w:rPr>
              <w:t></w:t>
            </w:r>
          </w:p>
          <w:p w14:paraId="6AFB400B" w14:textId="77777777" w:rsidR="001206CE" w:rsidRPr="00FA4E33" w:rsidRDefault="001206CE" w:rsidP="001206CE">
            <w:pPr>
              <w:tabs>
                <w:tab w:val="center" w:pos="720"/>
              </w:tabs>
              <w:spacing w:after="8"/>
              <w:jc w:val="center"/>
            </w:pPr>
            <w:r w:rsidRPr="00FA4E33">
              <w:rPr>
                <w:rFonts w:ascii="Wingdings" w:eastAsia="Wingdings" w:hAnsi="Wingdings" w:cs="Wingdings"/>
                <w:sz w:val="20"/>
              </w:rPr>
              <w:t></w:t>
            </w:r>
          </w:p>
          <w:p w14:paraId="43D4CB99" w14:textId="77777777" w:rsidR="001206CE" w:rsidRPr="00FA4E33" w:rsidRDefault="001206CE" w:rsidP="001206CE">
            <w:pPr>
              <w:jc w:val="center"/>
            </w:pPr>
            <w:r w:rsidRPr="00FA4E33">
              <w:rPr>
                <w:rFonts w:ascii="Wingdings" w:eastAsia="Wingdings" w:hAnsi="Wingdings" w:cs="Wingdings"/>
                <w:sz w:val="20"/>
              </w:rPr>
              <w:t></w:t>
            </w:r>
          </w:p>
          <w:p w14:paraId="5593921C" w14:textId="77777777" w:rsidR="001206CE" w:rsidRPr="00FA4E33" w:rsidRDefault="001206CE" w:rsidP="001206CE">
            <w:pPr>
              <w:jc w:val="center"/>
            </w:pPr>
            <w:r w:rsidRPr="00FA4E33">
              <w:rPr>
                <w:rFonts w:ascii="Wingdings" w:eastAsia="Wingdings" w:hAnsi="Wingdings" w:cs="Wingdings"/>
                <w:sz w:val="20"/>
              </w:rPr>
              <w:t></w:t>
            </w:r>
          </w:p>
          <w:p w14:paraId="407BD6D8" w14:textId="77777777" w:rsidR="001206CE" w:rsidRPr="004B3A2A" w:rsidRDefault="001206CE" w:rsidP="001206CE">
            <w:pPr>
              <w:rPr>
                <w:rFonts w:ascii="Calibri" w:eastAsia="Times New Roman" w:hAnsi="Calibri" w:cs="Arial"/>
                <w:sz w:val="16"/>
                <w:szCs w:val="16"/>
                <w:lang w:eastAsia="en-GB"/>
              </w:rPr>
            </w:pPr>
          </w:p>
        </w:tc>
        <w:tc>
          <w:tcPr>
            <w:tcW w:w="1559" w:type="dxa"/>
          </w:tcPr>
          <w:p w14:paraId="19591ABC" w14:textId="77777777" w:rsidR="001206CE" w:rsidRDefault="001206CE" w:rsidP="001206CE">
            <w:pPr>
              <w:jc w:val="center"/>
            </w:pPr>
          </w:p>
          <w:p w14:paraId="0A635A9E" w14:textId="77777777" w:rsidR="001206CE" w:rsidRDefault="001206CE" w:rsidP="001206CE">
            <w:pPr>
              <w:jc w:val="center"/>
            </w:pPr>
          </w:p>
          <w:p w14:paraId="20981B58" w14:textId="77777777" w:rsidR="001206CE" w:rsidRDefault="001206CE" w:rsidP="001206CE">
            <w:pPr>
              <w:jc w:val="center"/>
            </w:pPr>
            <w:r>
              <w:rPr>
                <w:rFonts w:ascii="Wingdings" w:eastAsia="Wingdings" w:hAnsi="Wingdings" w:cs="Wingdings"/>
                <w:sz w:val="20"/>
              </w:rPr>
              <w:t></w:t>
            </w:r>
          </w:p>
          <w:p w14:paraId="065DBE70" w14:textId="77777777" w:rsidR="001206CE" w:rsidRDefault="001206CE" w:rsidP="001206CE">
            <w:pPr>
              <w:jc w:val="center"/>
            </w:pPr>
            <w:r>
              <w:rPr>
                <w:rFonts w:ascii="Wingdings" w:eastAsia="Wingdings" w:hAnsi="Wingdings" w:cs="Wingdings"/>
                <w:sz w:val="20"/>
              </w:rPr>
              <w:t></w:t>
            </w:r>
          </w:p>
          <w:p w14:paraId="555F7C65" w14:textId="77777777" w:rsidR="001206CE" w:rsidRDefault="001206CE" w:rsidP="001206CE">
            <w:pPr>
              <w:jc w:val="center"/>
            </w:pPr>
          </w:p>
          <w:p w14:paraId="4B3400E3" w14:textId="77777777" w:rsidR="001206CE" w:rsidRDefault="001206CE" w:rsidP="001206CE">
            <w:pPr>
              <w:jc w:val="center"/>
            </w:pPr>
            <w:r>
              <w:rPr>
                <w:rFonts w:ascii="Wingdings" w:eastAsia="Wingdings" w:hAnsi="Wingdings" w:cs="Wingdings"/>
                <w:sz w:val="20"/>
              </w:rPr>
              <w:t></w:t>
            </w:r>
          </w:p>
          <w:p w14:paraId="2512E845" w14:textId="77777777" w:rsidR="001206CE" w:rsidRDefault="001206CE" w:rsidP="001206CE">
            <w:pPr>
              <w:jc w:val="center"/>
            </w:pPr>
            <w:r>
              <w:rPr>
                <w:rFonts w:ascii="Wingdings" w:eastAsia="Wingdings" w:hAnsi="Wingdings" w:cs="Wingdings"/>
                <w:sz w:val="20"/>
              </w:rPr>
              <w:t></w:t>
            </w:r>
          </w:p>
          <w:p w14:paraId="616576CE" w14:textId="77777777" w:rsidR="001206CE" w:rsidRDefault="001206CE" w:rsidP="001206CE">
            <w:pPr>
              <w:jc w:val="center"/>
            </w:pPr>
          </w:p>
          <w:p w14:paraId="0C8BB194" w14:textId="77777777" w:rsidR="001206CE" w:rsidRDefault="001206CE" w:rsidP="001206CE">
            <w:pPr>
              <w:jc w:val="center"/>
            </w:pPr>
          </w:p>
          <w:p w14:paraId="66282E17" w14:textId="77777777" w:rsidR="001206CE" w:rsidRDefault="001206CE" w:rsidP="001206CE">
            <w:pPr>
              <w:spacing w:line="251" w:lineRule="auto"/>
              <w:ind w:right="988"/>
              <w:jc w:val="center"/>
            </w:pPr>
          </w:p>
          <w:p w14:paraId="2E7D1275" w14:textId="77777777" w:rsidR="001206CE" w:rsidRDefault="001206CE" w:rsidP="001206CE">
            <w:pPr>
              <w:jc w:val="center"/>
            </w:pPr>
          </w:p>
          <w:p w14:paraId="69EDF3C2" w14:textId="77777777" w:rsidR="001206CE" w:rsidRPr="004B3A2A" w:rsidRDefault="001206CE" w:rsidP="001206CE">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89421A" w:rsidRPr="0025594D" w14:paraId="4FE2CB80" w14:textId="77777777" w:rsidTr="00CF3E10">
        <w:tc>
          <w:tcPr>
            <w:tcW w:w="6353" w:type="dxa"/>
            <w:shd w:val="clear" w:color="auto" w:fill="auto"/>
          </w:tcPr>
          <w:p w14:paraId="57EA5368"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Ability to build and form good relationships with students, parents/carers and colleagues </w:t>
            </w:r>
          </w:p>
          <w:p w14:paraId="538EB33E" w14:textId="77777777" w:rsidR="0089421A" w:rsidRPr="00FA4E33" w:rsidRDefault="0089421A" w:rsidP="0089421A">
            <w:pPr>
              <w:numPr>
                <w:ilvl w:val="0"/>
                <w:numId w:val="20"/>
              </w:numPr>
              <w:spacing w:after="57" w:line="238" w:lineRule="auto"/>
              <w:ind w:hanging="292"/>
              <w:rPr>
                <w:rFonts w:asciiTheme="minorHAnsi" w:hAnsiTheme="minorHAnsi" w:cstheme="minorHAnsi"/>
                <w:sz w:val="20"/>
              </w:rPr>
            </w:pPr>
            <w:r w:rsidRPr="00FA4E33">
              <w:rPr>
                <w:rFonts w:asciiTheme="minorHAnsi" w:eastAsia="Gill Sans MT" w:hAnsiTheme="minorHAnsi" w:cstheme="minorHAnsi"/>
                <w:sz w:val="20"/>
              </w:rPr>
              <w:lastRenderedPageBreak/>
              <w:t xml:space="preserve">Good verbal and written communication skills appropriate to the need to communicate effectively with colleagues, students, parents/carers and other professionals </w:t>
            </w:r>
          </w:p>
          <w:p w14:paraId="247F3208"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Ability to work constructively as part of a team, understanding school roles and responsibilities including own </w:t>
            </w:r>
          </w:p>
          <w:p w14:paraId="3EAF34F3"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Good standard of numeracy and literacy skills </w:t>
            </w:r>
          </w:p>
          <w:p w14:paraId="628F1229"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Ability to use basic ICT packages and equipment effectively </w:t>
            </w:r>
          </w:p>
          <w:p w14:paraId="25B89E77"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Ability to absorb and understand a wide range of information </w:t>
            </w:r>
          </w:p>
          <w:p w14:paraId="36A40077"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Basic understanding of child development and learning principles </w:t>
            </w:r>
          </w:p>
          <w:p w14:paraId="4CB2A8C6" w14:textId="77777777" w:rsidR="0089421A" w:rsidRPr="00FA4E33" w:rsidRDefault="0089421A" w:rsidP="0089421A">
            <w:pPr>
              <w:numPr>
                <w:ilvl w:val="0"/>
                <w:numId w:val="20"/>
              </w:numPr>
              <w:spacing w:after="2"/>
              <w:ind w:hanging="292"/>
              <w:rPr>
                <w:rFonts w:asciiTheme="minorHAnsi" w:hAnsiTheme="minorHAnsi" w:cstheme="minorHAnsi"/>
                <w:sz w:val="20"/>
              </w:rPr>
            </w:pPr>
            <w:r w:rsidRPr="00FA4E33">
              <w:rPr>
                <w:rFonts w:asciiTheme="minorHAnsi" w:eastAsia="Gill Sans MT" w:hAnsiTheme="minorHAnsi" w:cstheme="minorHAnsi"/>
                <w:sz w:val="20"/>
              </w:rPr>
              <w:t xml:space="preserve">Good working knowledge of behaviour management strategies </w:t>
            </w:r>
          </w:p>
          <w:p w14:paraId="7D01A212"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Working knowledge of national curriculum and other basic learning programmes / strategies </w:t>
            </w:r>
          </w:p>
          <w:p w14:paraId="42B38D31" w14:textId="77777777" w:rsidR="0089421A" w:rsidRPr="00FA4E33" w:rsidRDefault="0089421A" w:rsidP="0089421A">
            <w:pPr>
              <w:numPr>
                <w:ilvl w:val="0"/>
                <w:numId w:val="20"/>
              </w:numPr>
              <w:spacing w:after="58" w:line="237" w:lineRule="auto"/>
              <w:ind w:hanging="292"/>
              <w:rPr>
                <w:rFonts w:asciiTheme="minorHAnsi" w:hAnsiTheme="minorHAnsi" w:cstheme="minorHAnsi"/>
                <w:sz w:val="20"/>
              </w:rPr>
            </w:pPr>
            <w:r w:rsidRPr="00FA4E33">
              <w:rPr>
                <w:rFonts w:asciiTheme="minorHAnsi" w:eastAsia="Gill Sans MT" w:hAnsiTheme="minorHAnsi" w:cstheme="minorHAnsi"/>
                <w:sz w:val="20"/>
              </w:rPr>
              <w:t xml:space="preserve">Working knowledge of relevant policies and procedures, and awareness of relevant legislation </w:t>
            </w:r>
          </w:p>
          <w:p w14:paraId="51B793A6" w14:textId="7D3C65FE" w:rsidR="0089421A" w:rsidRPr="004B3A2A" w:rsidRDefault="0089421A" w:rsidP="0089421A">
            <w:pPr>
              <w:rPr>
                <w:rFonts w:ascii="Calibri" w:eastAsia="Times New Roman" w:hAnsi="Calibri" w:cs="Arial"/>
                <w:sz w:val="18"/>
                <w:szCs w:val="18"/>
                <w:lang w:eastAsia="en-GB"/>
              </w:rPr>
            </w:pPr>
            <w:r w:rsidRPr="00FA4E33">
              <w:rPr>
                <w:rFonts w:asciiTheme="minorHAnsi" w:eastAsia="Gill Sans MT" w:hAnsiTheme="minorHAnsi" w:cstheme="minorHAnsi"/>
                <w:sz w:val="20"/>
              </w:rPr>
              <w:t xml:space="preserve">Good understanding and experience of effective strategies and interventions to support pupils with SEND </w:t>
            </w:r>
          </w:p>
        </w:tc>
        <w:tc>
          <w:tcPr>
            <w:tcW w:w="1559" w:type="dxa"/>
            <w:shd w:val="clear" w:color="auto" w:fill="auto"/>
          </w:tcPr>
          <w:p w14:paraId="1121AF45" w14:textId="77777777" w:rsidR="0089421A" w:rsidRDefault="0089421A" w:rsidP="0089421A">
            <w:pPr>
              <w:ind w:left="175"/>
              <w:jc w:val="center"/>
            </w:pPr>
            <w:r>
              <w:rPr>
                <w:rFonts w:ascii="Wingdings" w:eastAsia="Wingdings" w:hAnsi="Wingdings" w:cs="Wingdings"/>
                <w:sz w:val="20"/>
              </w:rPr>
              <w:lastRenderedPageBreak/>
              <w:t></w:t>
            </w:r>
          </w:p>
          <w:p w14:paraId="544DB66B" w14:textId="671472FB" w:rsidR="0089421A" w:rsidRDefault="0089421A" w:rsidP="0089421A">
            <w:pPr>
              <w:ind w:left="175"/>
              <w:jc w:val="center"/>
            </w:pPr>
          </w:p>
          <w:p w14:paraId="168BF136" w14:textId="77777777" w:rsidR="0089421A" w:rsidRDefault="0089421A" w:rsidP="0089421A">
            <w:pPr>
              <w:ind w:left="175"/>
              <w:jc w:val="center"/>
            </w:pPr>
          </w:p>
          <w:p w14:paraId="445C043B" w14:textId="77777777" w:rsidR="0089421A" w:rsidRDefault="0089421A" w:rsidP="0089421A">
            <w:pPr>
              <w:ind w:left="175"/>
              <w:jc w:val="center"/>
            </w:pPr>
            <w:r>
              <w:rPr>
                <w:rFonts w:ascii="Wingdings" w:eastAsia="Wingdings" w:hAnsi="Wingdings" w:cs="Wingdings"/>
                <w:sz w:val="20"/>
              </w:rPr>
              <w:t></w:t>
            </w:r>
          </w:p>
          <w:p w14:paraId="191B31B7" w14:textId="77777777" w:rsidR="0089421A" w:rsidRDefault="0089421A" w:rsidP="0089421A">
            <w:pPr>
              <w:ind w:left="175"/>
              <w:jc w:val="center"/>
            </w:pPr>
          </w:p>
          <w:p w14:paraId="434EEAA2" w14:textId="77777777" w:rsidR="0089421A" w:rsidRDefault="0089421A" w:rsidP="0089421A">
            <w:pPr>
              <w:ind w:left="175"/>
              <w:jc w:val="center"/>
            </w:pPr>
          </w:p>
          <w:p w14:paraId="458C28AF" w14:textId="77777777" w:rsidR="0089421A" w:rsidRDefault="0089421A" w:rsidP="0089421A">
            <w:pPr>
              <w:ind w:left="175"/>
              <w:jc w:val="center"/>
            </w:pPr>
            <w:r>
              <w:rPr>
                <w:rFonts w:ascii="Wingdings" w:eastAsia="Wingdings" w:hAnsi="Wingdings" w:cs="Wingdings"/>
                <w:sz w:val="20"/>
              </w:rPr>
              <w:t></w:t>
            </w:r>
          </w:p>
          <w:p w14:paraId="2D01A7A1" w14:textId="77777777" w:rsidR="0089421A" w:rsidRDefault="0089421A" w:rsidP="0089421A">
            <w:pPr>
              <w:ind w:left="175"/>
              <w:jc w:val="center"/>
            </w:pPr>
          </w:p>
          <w:p w14:paraId="33888E1A" w14:textId="77777777" w:rsidR="0089421A" w:rsidRDefault="0089421A" w:rsidP="0089421A">
            <w:pPr>
              <w:spacing w:after="15"/>
              <w:ind w:left="175"/>
              <w:jc w:val="center"/>
            </w:pPr>
            <w:r>
              <w:rPr>
                <w:rFonts w:ascii="Wingdings" w:eastAsia="Wingdings" w:hAnsi="Wingdings" w:cs="Wingdings"/>
                <w:sz w:val="20"/>
              </w:rPr>
              <w:t></w:t>
            </w:r>
          </w:p>
          <w:p w14:paraId="18C04148" w14:textId="77777777" w:rsidR="0089421A" w:rsidRDefault="0089421A" w:rsidP="0089421A">
            <w:pPr>
              <w:jc w:val="center"/>
            </w:pPr>
          </w:p>
          <w:p w14:paraId="229525B9" w14:textId="77777777" w:rsidR="0089421A" w:rsidRDefault="0089421A" w:rsidP="0089421A">
            <w:pPr>
              <w:ind w:left="175"/>
              <w:jc w:val="center"/>
            </w:pPr>
            <w:r>
              <w:rPr>
                <w:rFonts w:ascii="Wingdings" w:eastAsia="Wingdings" w:hAnsi="Wingdings" w:cs="Wingdings"/>
                <w:sz w:val="20"/>
              </w:rPr>
              <w:t></w:t>
            </w:r>
          </w:p>
          <w:p w14:paraId="4ED4F762" w14:textId="77777777" w:rsidR="0089421A" w:rsidRDefault="0089421A" w:rsidP="0089421A">
            <w:pPr>
              <w:ind w:left="175"/>
              <w:jc w:val="center"/>
            </w:pPr>
            <w:r>
              <w:rPr>
                <w:rFonts w:ascii="Wingdings" w:eastAsia="Wingdings" w:hAnsi="Wingdings" w:cs="Wingdings"/>
                <w:sz w:val="20"/>
              </w:rPr>
              <w:t></w:t>
            </w:r>
          </w:p>
          <w:p w14:paraId="5B2347E3" w14:textId="77777777" w:rsidR="0089421A" w:rsidRDefault="0089421A" w:rsidP="0089421A">
            <w:pPr>
              <w:ind w:left="175"/>
              <w:jc w:val="center"/>
            </w:pPr>
            <w:r>
              <w:rPr>
                <w:rFonts w:ascii="Wingdings" w:eastAsia="Wingdings" w:hAnsi="Wingdings" w:cs="Wingdings"/>
                <w:sz w:val="20"/>
              </w:rPr>
              <w:t></w:t>
            </w:r>
          </w:p>
          <w:p w14:paraId="7389AEC5" w14:textId="77777777" w:rsidR="0089421A" w:rsidRDefault="0089421A" w:rsidP="0089421A">
            <w:pPr>
              <w:ind w:left="175"/>
              <w:jc w:val="center"/>
            </w:pPr>
            <w:r>
              <w:rPr>
                <w:rFonts w:ascii="Wingdings" w:eastAsia="Wingdings" w:hAnsi="Wingdings" w:cs="Wingdings"/>
                <w:sz w:val="20"/>
              </w:rPr>
              <w:t></w:t>
            </w:r>
          </w:p>
          <w:p w14:paraId="0402BD92" w14:textId="77777777" w:rsidR="0089421A" w:rsidRDefault="0089421A" w:rsidP="0089421A">
            <w:pPr>
              <w:ind w:left="175"/>
              <w:jc w:val="center"/>
            </w:pPr>
          </w:p>
          <w:p w14:paraId="782F4335" w14:textId="77777777" w:rsidR="0089421A" w:rsidRDefault="0089421A" w:rsidP="0089421A">
            <w:pPr>
              <w:ind w:left="175"/>
              <w:jc w:val="center"/>
            </w:pPr>
          </w:p>
          <w:p w14:paraId="483238CC" w14:textId="77777777" w:rsidR="0089421A" w:rsidRDefault="0089421A" w:rsidP="0089421A">
            <w:pPr>
              <w:ind w:left="175"/>
              <w:jc w:val="center"/>
            </w:pPr>
          </w:p>
          <w:p w14:paraId="49B9BD5B" w14:textId="77777777" w:rsidR="0089421A" w:rsidRDefault="0089421A" w:rsidP="0089421A">
            <w:pPr>
              <w:ind w:left="175"/>
              <w:jc w:val="center"/>
            </w:pPr>
          </w:p>
          <w:p w14:paraId="75A21E54" w14:textId="77777777" w:rsidR="0089421A" w:rsidRDefault="0089421A" w:rsidP="0089421A">
            <w:pPr>
              <w:ind w:left="175"/>
              <w:jc w:val="center"/>
            </w:pPr>
            <w:r>
              <w:rPr>
                <w:rFonts w:ascii="Wingdings" w:eastAsia="Wingdings" w:hAnsi="Wingdings" w:cs="Wingdings"/>
                <w:sz w:val="20"/>
              </w:rPr>
              <w:t></w:t>
            </w:r>
          </w:p>
          <w:p w14:paraId="0AA81D53" w14:textId="77777777" w:rsidR="0089421A" w:rsidRPr="00D04362" w:rsidRDefault="0089421A" w:rsidP="0089421A">
            <w:pPr>
              <w:rPr>
                <w:rFonts w:ascii="Wingdings" w:eastAsia="Times New Roman" w:hAnsi="Wingdings" w:cs="Calibri"/>
                <w:sz w:val="18"/>
                <w:szCs w:val="18"/>
                <w:lang w:eastAsia="en-GB"/>
              </w:rPr>
            </w:pPr>
          </w:p>
        </w:tc>
        <w:tc>
          <w:tcPr>
            <w:tcW w:w="1559" w:type="dxa"/>
          </w:tcPr>
          <w:p w14:paraId="67726749" w14:textId="77777777" w:rsidR="0089421A" w:rsidRDefault="0089421A" w:rsidP="0089421A">
            <w:pPr>
              <w:jc w:val="center"/>
            </w:pPr>
          </w:p>
          <w:p w14:paraId="2AF15594" w14:textId="77777777" w:rsidR="0089421A" w:rsidRDefault="0089421A" w:rsidP="0089421A">
            <w:pPr>
              <w:jc w:val="center"/>
            </w:pPr>
          </w:p>
          <w:p w14:paraId="076CE47D" w14:textId="77777777" w:rsidR="0089421A" w:rsidRDefault="0089421A" w:rsidP="0089421A">
            <w:pPr>
              <w:jc w:val="center"/>
            </w:pPr>
          </w:p>
          <w:p w14:paraId="77863B17" w14:textId="77777777" w:rsidR="0089421A" w:rsidRDefault="0089421A" w:rsidP="0089421A">
            <w:pPr>
              <w:jc w:val="center"/>
            </w:pPr>
          </w:p>
          <w:p w14:paraId="7395DD95" w14:textId="77777777" w:rsidR="0089421A" w:rsidRDefault="0089421A" w:rsidP="0089421A">
            <w:pPr>
              <w:jc w:val="center"/>
            </w:pPr>
          </w:p>
          <w:p w14:paraId="5762A3A0" w14:textId="77777777" w:rsidR="0089421A" w:rsidRDefault="0089421A" w:rsidP="0089421A">
            <w:pPr>
              <w:jc w:val="center"/>
            </w:pPr>
          </w:p>
          <w:p w14:paraId="7E2C0CC2" w14:textId="77777777" w:rsidR="0089421A" w:rsidRDefault="0089421A" w:rsidP="0089421A">
            <w:pPr>
              <w:jc w:val="center"/>
            </w:pPr>
          </w:p>
          <w:p w14:paraId="7AF2744C" w14:textId="77777777" w:rsidR="0089421A" w:rsidRDefault="0089421A" w:rsidP="0089421A">
            <w:pPr>
              <w:jc w:val="center"/>
            </w:pPr>
          </w:p>
          <w:p w14:paraId="42647155" w14:textId="77777777" w:rsidR="0089421A" w:rsidRDefault="0089421A" w:rsidP="0089421A">
            <w:pPr>
              <w:jc w:val="center"/>
            </w:pPr>
          </w:p>
          <w:p w14:paraId="225CAF1C" w14:textId="77777777" w:rsidR="0089421A" w:rsidRDefault="0089421A" w:rsidP="0089421A">
            <w:pPr>
              <w:jc w:val="center"/>
            </w:pPr>
          </w:p>
          <w:p w14:paraId="58B687DB" w14:textId="77777777" w:rsidR="0089421A" w:rsidRDefault="0089421A" w:rsidP="0089421A">
            <w:pPr>
              <w:jc w:val="center"/>
            </w:pPr>
          </w:p>
          <w:p w14:paraId="6D86CFB9" w14:textId="77777777" w:rsidR="0089421A" w:rsidRDefault="0089421A" w:rsidP="0089421A">
            <w:pPr>
              <w:jc w:val="center"/>
            </w:pPr>
          </w:p>
          <w:p w14:paraId="67DBCD03" w14:textId="77777777" w:rsidR="0089421A" w:rsidRDefault="0089421A" w:rsidP="0089421A">
            <w:pPr>
              <w:jc w:val="center"/>
            </w:pPr>
          </w:p>
          <w:p w14:paraId="7654E000" w14:textId="77777777" w:rsidR="0089421A" w:rsidRDefault="0089421A" w:rsidP="0089421A">
            <w:pPr>
              <w:ind w:left="175"/>
              <w:jc w:val="center"/>
            </w:pPr>
            <w:r>
              <w:rPr>
                <w:rFonts w:ascii="Wingdings" w:eastAsia="Wingdings" w:hAnsi="Wingdings" w:cs="Wingdings"/>
                <w:sz w:val="20"/>
              </w:rPr>
              <w:t></w:t>
            </w:r>
          </w:p>
          <w:p w14:paraId="31226021" w14:textId="77777777" w:rsidR="0089421A" w:rsidRDefault="0089421A" w:rsidP="0089421A">
            <w:pPr>
              <w:jc w:val="center"/>
            </w:pPr>
          </w:p>
          <w:p w14:paraId="0ECE9CD8" w14:textId="77777777" w:rsidR="0089421A" w:rsidRDefault="0089421A" w:rsidP="0089421A">
            <w:pPr>
              <w:ind w:left="175"/>
              <w:jc w:val="center"/>
            </w:pPr>
            <w:r>
              <w:rPr>
                <w:rFonts w:ascii="Wingdings" w:eastAsia="Wingdings" w:hAnsi="Wingdings" w:cs="Wingdings"/>
                <w:sz w:val="20"/>
              </w:rPr>
              <w:t></w:t>
            </w:r>
          </w:p>
          <w:p w14:paraId="6E79C0B5" w14:textId="77777777" w:rsidR="0089421A" w:rsidRPr="0025594D" w:rsidRDefault="0089421A" w:rsidP="0089421A">
            <w:pPr>
              <w:ind w:left="720"/>
              <w:rPr>
                <w:rFonts w:ascii="Calibri" w:eastAsia="Times New Roman" w:hAnsi="Calibri" w:cs="Arial"/>
                <w:sz w:val="20"/>
                <w:lang w:eastAsia="en-GB"/>
              </w:rPr>
            </w:pPr>
          </w:p>
        </w:tc>
      </w:tr>
      <w:tr w:rsidR="004F06C7" w:rsidRPr="0025594D" w14:paraId="560818D4" w14:textId="77777777" w:rsidTr="0089421A">
        <w:trPr>
          <w:trHeight w:val="327"/>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lastRenderedPageBreak/>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DB4DD4">
            <w:pPr>
              <w:jc w:val="center"/>
              <w:rPr>
                <w:rFonts w:ascii="Wingdings" w:eastAsia="Times New Roman" w:hAnsi="Wingdings" w:cs="Calibri"/>
                <w:sz w:val="18"/>
                <w:szCs w:val="18"/>
                <w:lang w:eastAsia="en-GB"/>
              </w:rPr>
            </w:pPr>
          </w:p>
          <w:p w14:paraId="5F103695" w14:textId="208CE29B"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DB4DD4">
            <w:pPr>
              <w:jc w:val="center"/>
              <w:rPr>
                <w:rFonts w:ascii="Wingdings" w:eastAsia="Times New Roman" w:hAnsi="Wingdings" w:cs="Calibri"/>
                <w:sz w:val="18"/>
                <w:szCs w:val="18"/>
                <w:lang w:eastAsia="en-GB"/>
              </w:rPr>
            </w:pPr>
          </w:p>
          <w:p w14:paraId="3845D12E"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DB4DD4">
            <w:pPr>
              <w:jc w:val="center"/>
              <w:rPr>
                <w:rFonts w:ascii="Calibri" w:eastAsia="Times New Roman" w:hAnsi="Calibri" w:cs="Arial"/>
                <w:b/>
                <w:sz w:val="18"/>
                <w:szCs w:val="18"/>
                <w:lang w:eastAsia="en-GB"/>
              </w:rPr>
            </w:pPr>
          </w:p>
          <w:p w14:paraId="0A383F89"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DB4DD4">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DB4DD4">
            <w:pPr>
              <w:jc w:val="cente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0AAD"/>
    <w:multiLevelType w:val="hybridMultilevel"/>
    <w:tmpl w:val="A2B43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967BED"/>
    <w:multiLevelType w:val="hybridMultilevel"/>
    <w:tmpl w:val="6BAE69FA"/>
    <w:lvl w:ilvl="0" w:tplc="87961E52">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06E28B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58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6E3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ED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9B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3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F5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25A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263E3"/>
    <w:multiLevelType w:val="hybridMultilevel"/>
    <w:tmpl w:val="821E3F38"/>
    <w:lvl w:ilvl="0" w:tplc="A348A01A">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EC83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8CDE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DD96">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CBE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2752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0AB90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13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E6B8A">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82811"/>
    <w:multiLevelType w:val="hybridMultilevel"/>
    <w:tmpl w:val="EB908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6E7653"/>
    <w:multiLevelType w:val="hybridMultilevel"/>
    <w:tmpl w:val="561AB03C"/>
    <w:lvl w:ilvl="0" w:tplc="8864E3EE">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23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9A40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26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6EA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7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B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3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4E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5"/>
  </w:num>
  <w:num w:numId="5">
    <w:abstractNumId w:val="11"/>
  </w:num>
  <w:num w:numId="6">
    <w:abstractNumId w:val="3"/>
  </w:num>
  <w:num w:numId="7">
    <w:abstractNumId w:val="0"/>
  </w:num>
  <w:num w:numId="8">
    <w:abstractNumId w:val="18"/>
  </w:num>
  <w:num w:numId="9">
    <w:abstractNumId w:val="9"/>
  </w:num>
  <w:num w:numId="10">
    <w:abstractNumId w:val="7"/>
  </w:num>
  <w:num w:numId="11">
    <w:abstractNumId w:val="13"/>
  </w:num>
  <w:num w:numId="12">
    <w:abstractNumId w:val="10"/>
  </w:num>
  <w:num w:numId="13">
    <w:abstractNumId w:val="1"/>
  </w:num>
  <w:num w:numId="14">
    <w:abstractNumId w:val="17"/>
  </w:num>
  <w:num w:numId="15">
    <w:abstractNumId w:val="14"/>
  </w:num>
  <w:num w:numId="16">
    <w:abstractNumId w:val="2"/>
  </w:num>
  <w:num w:numId="17">
    <w:abstractNumId w:val="12"/>
  </w:num>
  <w:num w:numId="18">
    <w:abstractNumId w:val="4"/>
  </w:num>
  <w:num w:numId="19">
    <w:abstractNumId w:val="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06CE"/>
    <w:rsid w:val="00122EAB"/>
    <w:rsid w:val="00124C2E"/>
    <w:rsid w:val="00125935"/>
    <w:rsid w:val="00131DA1"/>
    <w:rsid w:val="001838F0"/>
    <w:rsid w:val="001B054A"/>
    <w:rsid w:val="001B20C5"/>
    <w:rsid w:val="001B2BA1"/>
    <w:rsid w:val="002125C5"/>
    <w:rsid w:val="002177B4"/>
    <w:rsid w:val="00220906"/>
    <w:rsid w:val="00230844"/>
    <w:rsid w:val="0025594D"/>
    <w:rsid w:val="00264E04"/>
    <w:rsid w:val="00281A2B"/>
    <w:rsid w:val="002856CE"/>
    <w:rsid w:val="00290A3D"/>
    <w:rsid w:val="002A17A1"/>
    <w:rsid w:val="002A30DA"/>
    <w:rsid w:val="00307577"/>
    <w:rsid w:val="0031318F"/>
    <w:rsid w:val="00323506"/>
    <w:rsid w:val="00323B63"/>
    <w:rsid w:val="00360CC9"/>
    <w:rsid w:val="003722AB"/>
    <w:rsid w:val="00391126"/>
    <w:rsid w:val="00394C2C"/>
    <w:rsid w:val="003B506C"/>
    <w:rsid w:val="003E4C83"/>
    <w:rsid w:val="003F0570"/>
    <w:rsid w:val="0042187F"/>
    <w:rsid w:val="0043375C"/>
    <w:rsid w:val="00441BD3"/>
    <w:rsid w:val="004A2841"/>
    <w:rsid w:val="004A339B"/>
    <w:rsid w:val="004D073F"/>
    <w:rsid w:val="004D17A2"/>
    <w:rsid w:val="004D700E"/>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45744"/>
    <w:rsid w:val="007A1B7D"/>
    <w:rsid w:val="007B676D"/>
    <w:rsid w:val="007E17FE"/>
    <w:rsid w:val="00805F08"/>
    <w:rsid w:val="00822FF1"/>
    <w:rsid w:val="008239F1"/>
    <w:rsid w:val="00872955"/>
    <w:rsid w:val="00876407"/>
    <w:rsid w:val="0089421A"/>
    <w:rsid w:val="0090595A"/>
    <w:rsid w:val="0093459B"/>
    <w:rsid w:val="0093486F"/>
    <w:rsid w:val="009509DF"/>
    <w:rsid w:val="00951BD9"/>
    <w:rsid w:val="009707D2"/>
    <w:rsid w:val="009E152C"/>
    <w:rsid w:val="009F0E4B"/>
    <w:rsid w:val="009F2089"/>
    <w:rsid w:val="009F6AA3"/>
    <w:rsid w:val="00A064C7"/>
    <w:rsid w:val="00A10731"/>
    <w:rsid w:val="00A13938"/>
    <w:rsid w:val="00A13DEB"/>
    <w:rsid w:val="00A16907"/>
    <w:rsid w:val="00A30EEA"/>
    <w:rsid w:val="00A87DA9"/>
    <w:rsid w:val="00AA6273"/>
    <w:rsid w:val="00AD36C0"/>
    <w:rsid w:val="00AD4135"/>
    <w:rsid w:val="00B176A2"/>
    <w:rsid w:val="00B44961"/>
    <w:rsid w:val="00B52B38"/>
    <w:rsid w:val="00B67C73"/>
    <w:rsid w:val="00B76568"/>
    <w:rsid w:val="00B93444"/>
    <w:rsid w:val="00C1298C"/>
    <w:rsid w:val="00C60B24"/>
    <w:rsid w:val="00C66C2E"/>
    <w:rsid w:val="00CA731B"/>
    <w:rsid w:val="00CC0123"/>
    <w:rsid w:val="00CE5B26"/>
    <w:rsid w:val="00CF3E10"/>
    <w:rsid w:val="00CF70C4"/>
    <w:rsid w:val="00D11808"/>
    <w:rsid w:val="00D135DD"/>
    <w:rsid w:val="00D52672"/>
    <w:rsid w:val="00D817ED"/>
    <w:rsid w:val="00DB0F62"/>
    <w:rsid w:val="00DB4DD4"/>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2006/documentManagement/types"/>
    <ds:schemaRef ds:uri="http://schemas.microsoft.com/office/2006/metadata/properties"/>
    <ds:schemaRef ds:uri="http://purl.org/dc/terms/"/>
    <ds:schemaRef ds:uri="19b3c253-de3b-4346-8420-7d188a95efe0"/>
    <ds:schemaRef ds:uri="http://purl.org/dc/elements/1.1/"/>
    <ds:schemaRef ds:uri="http://www.w3.org/XML/1998/namespace"/>
    <ds:schemaRef ds:uri="8ec25b4c-7a2b-4e98-bf0d-c450e3a8d41f"/>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3C6D79FD-A40E-40ED-B7F9-8ECC2D49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2023-03-09T09:01:00Z</dcterms:created>
  <dcterms:modified xsi:type="dcterms:W3CDTF">2023-03-13T09:07:00Z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