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5031" w14:textId="3020739F" w:rsidR="00C9620C" w:rsidRPr="00CF1957" w:rsidRDefault="00C9620C" w:rsidP="00A855C5">
      <w:pPr>
        <w:spacing w:line="276" w:lineRule="auto"/>
        <w:outlineLvl w:val="0"/>
        <w:rPr>
          <w:rFonts w:asciiTheme="minorHAnsi" w:hAnsiTheme="minorHAnsi" w:cstheme="minorHAnsi"/>
          <w:b/>
          <w:bCs/>
          <w:szCs w:val="24"/>
        </w:rPr>
      </w:pPr>
      <w:r w:rsidRPr="00CF1957">
        <w:rPr>
          <w:rFonts w:asciiTheme="minorHAnsi" w:hAnsiTheme="minorHAnsi" w:cstheme="minorHAnsi"/>
          <w:b/>
          <w:bCs/>
          <w:szCs w:val="24"/>
        </w:rPr>
        <w:t xml:space="preserve">Support Staff </w:t>
      </w:r>
      <w:r w:rsidR="007B614A" w:rsidRPr="00CF1957">
        <w:rPr>
          <w:rFonts w:asciiTheme="minorHAnsi" w:hAnsiTheme="minorHAnsi" w:cstheme="minorHAnsi"/>
          <w:b/>
          <w:bCs/>
          <w:szCs w:val="24"/>
        </w:rPr>
        <w:t xml:space="preserve">Job Outline </w:t>
      </w:r>
      <w:r w:rsidR="00F04AEF" w:rsidRPr="00CF1957">
        <w:rPr>
          <w:rFonts w:asciiTheme="minorHAnsi" w:hAnsiTheme="minorHAnsi" w:cstheme="minorHAnsi"/>
          <w:b/>
          <w:bCs/>
          <w:szCs w:val="24"/>
        </w:rPr>
        <w:t>and Person Specification</w:t>
      </w:r>
    </w:p>
    <w:p w14:paraId="08FC083A" w14:textId="60E90826" w:rsidR="51749BAD" w:rsidRPr="00CF1957" w:rsidRDefault="51749BAD" w:rsidP="00A855C5">
      <w:pPr>
        <w:spacing w:line="276" w:lineRule="auto"/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4F577206" w14:textId="77777777" w:rsidR="002B0B4C" w:rsidRPr="00CF1957" w:rsidRDefault="002B0B4C" w:rsidP="00A855C5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401"/>
      </w:tblGrid>
      <w:tr w:rsidR="00CF1957" w:rsidRPr="00CF1957" w14:paraId="7A78B3A1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8BE30FC" w14:textId="77777777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Position Title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776" w14:textId="5B5F167B" w:rsidR="002B0B4C" w:rsidRPr="00CF1957" w:rsidRDefault="00875850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75850">
              <w:rPr>
                <w:rFonts w:asciiTheme="minorHAnsi" w:hAnsiTheme="minorHAnsi" w:cstheme="minorHAnsi"/>
                <w:szCs w:val="24"/>
              </w:rPr>
              <w:t>Specialist Speech &amp; Language Therapist</w:t>
            </w:r>
          </w:p>
        </w:tc>
      </w:tr>
      <w:tr w:rsidR="00CF1957" w:rsidRPr="00CF1957" w14:paraId="1DD3B5CE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390188F" w14:textId="77777777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Location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D2C" w14:textId="3EA3C71B" w:rsidR="002B0B4C" w:rsidRPr="00CF1957" w:rsidRDefault="003A7552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Promise School </w:t>
            </w:r>
          </w:p>
        </w:tc>
      </w:tr>
      <w:tr w:rsidR="00CF1957" w:rsidRPr="00CF1957" w14:paraId="5834BC22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F26AFD" w14:textId="77777777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Reporting to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CDE" w14:textId="6C272866" w:rsidR="002B0B4C" w:rsidRPr="00CF1957" w:rsidRDefault="00875850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Principal </w:t>
            </w:r>
          </w:p>
        </w:tc>
      </w:tr>
      <w:tr w:rsidR="00CF1957" w:rsidRPr="00CF1957" w14:paraId="1A7C6C94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225C3C" w14:textId="77777777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Job Term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B9E" w14:textId="5B741886" w:rsidR="002B0B4C" w:rsidRPr="00CF1957" w:rsidRDefault="006804FD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Permanent</w:t>
            </w:r>
            <w:r w:rsidR="05B88B52" w:rsidRPr="00CF195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CF1957" w:rsidRPr="00CF1957" w14:paraId="3684A20E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5E3BBD" w14:textId="7C4EC5C3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Hours</w:t>
            </w:r>
            <w:r w:rsidR="000D1E2A" w:rsidRPr="00CF195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08F" w14:textId="4C3F268F" w:rsidR="00C94D04" w:rsidRPr="00370F7E" w:rsidRDefault="002B3435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0.6 FTE</w:t>
            </w:r>
          </w:p>
        </w:tc>
      </w:tr>
      <w:tr w:rsidR="00CF1957" w:rsidRPr="00CF1957" w14:paraId="34E1A52E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D93A76" w14:textId="2DC1AA46" w:rsidR="00F05E06" w:rsidRPr="00CF1957" w:rsidRDefault="00F05E06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Work Pattern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727" w14:textId="26F48F20" w:rsidR="00F05E06" w:rsidRPr="00370F7E" w:rsidRDefault="002B3435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Part-time</w:t>
            </w:r>
          </w:p>
        </w:tc>
      </w:tr>
      <w:tr w:rsidR="00CF1957" w:rsidRPr="00CF1957" w14:paraId="54AEEE53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949C057" w14:textId="784F7E3F" w:rsidR="002B0B4C" w:rsidRPr="00CF1957" w:rsidRDefault="00793283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240E3" w:rsidRPr="00CF1957">
              <w:rPr>
                <w:rFonts w:asciiTheme="minorHAnsi" w:hAnsiTheme="minorHAnsi" w:cstheme="minorHAnsi"/>
                <w:b/>
                <w:szCs w:val="24"/>
              </w:rPr>
              <w:t>Salary</w:t>
            </w:r>
            <w:r w:rsidR="00F05E06" w:rsidRPr="00CF195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77F" w14:textId="1AFC3A8C" w:rsidR="002B0B4C" w:rsidRPr="00370F7E" w:rsidRDefault="003240E3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370F7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B3435">
              <w:rPr>
                <w:rFonts w:asciiTheme="minorHAnsi" w:hAnsiTheme="minorHAnsi" w:cstheme="minorHAnsi"/>
                <w:szCs w:val="24"/>
              </w:rPr>
              <w:t>£25,000 to £29,000</w:t>
            </w:r>
          </w:p>
        </w:tc>
      </w:tr>
      <w:tr w:rsidR="00CF1957" w:rsidRPr="00CF1957" w14:paraId="6C26D021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5F9C22A" w14:textId="77777777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Organisation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A131" w14:textId="60B6E1EE" w:rsidR="002B0B4C" w:rsidRPr="00CF1957" w:rsidRDefault="00DE57A8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Dartmoor Multi Academy Trust</w:t>
            </w:r>
          </w:p>
        </w:tc>
      </w:tr>
      <w:tr w:rsidR="00CF1957" w:rsidRPr="00CF1957" w14:paraId="0ECDAF50" w14:textId="77777777" w:rsidTr="51749BAD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0B8171" w14:textId="77777777" w:rsidR="002B0B4C" w:rsidRPr="00CF1957" w:rsidRDefault="002B0B4C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Effective date of JD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4D7" w14:textId="52908ADC" w:rsidR="002B0B4C" w:rsidRPr="00CF1957" w:rsidRDefault="002B3435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March 2022</w:t>
            </w:r>
          </w:p>
        </w:tc>
      </w:tr>
    </w:tbl>
    <w:p w14:paraId="03CB566D" w14:textId="77777777" w:rsidR="002B0B4C" w:rsidRPr="00CF1957" w:rsidRDefault="002B0B4C" w:rsidP="00A855C5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ABF3637" w14:textId="77777777" w:rsidR="002B0B4C" w:rsidRPr="009D31CA" w:rsidRDefault="002B0B4C" w:rsidP="00A855C5">
      <w:pPr>
        <w:spacing w:line="276" w:lineRule="auto"/>
        <w:jc w:val="both"/>
        <w:rPr>
          <w:rFonts w:cs="Arial"/>
          <w:szCs w:val="24"/>
        </w:rPr>
      </w:pPr>
    </w:p>
    <w:p w14:paraId="3D6F3FAA" w14:textId="0E62616D" w:rsidR="008B6993" w:rsidRPr="009D31CA" w:rsidRDefault="008B6993" w:rsidP="00D81709">
      <w:pPr>
        <w:spacing w:line="276" w:lineRule="auto"/>
        <w:jc w:val="both"/>
        <w:rPr>
          <w:rFonts w:cs="Arial"/>
          <w:szCs w:val="24"/>
        </w:rPr>
      </w:pPr>
      <w:r w:rsidRPr="009D31CA">
        <w:rPr>
          <w:rFonts w:cs="Arial"/>
          <w:szCs w:val="24"/>
        </w:rPr>
        <w:t>There are 17 schools within Dartmoor Multi Academy Trust, 3 secondary and 14 primary schools</w:t>
      </w:r>
      <w:r w:rsidR="7FD793AD" w:rsidRPr="009D31CA">
        <w:rPr>
          <w:rFonts w:cs="Arial"/>
          <w:szCs w:val="24"/>
        </w:rPr>
        <w:t xml:space="preserve">. </w:t>
      </w:r>
      <w:r w:rsidR="00F6792B" w:rsidRPr="009D31CA">
        <w:rPr>
          <w:rFonts w:cs="Arial"/>
          <w:szCs w:val="24"/>
        </w:rPr>
        <w:t xml:space="preserve"> </w:t>
      </w:r>
      <w:r w:rsidR="7FD793AD" w:rsidRPr="009D31CA">
        <w:rPr>
          <w:rFonts w:cs="Arial"/>
          <w:szCs w:val="24"/>
        </w:rPr>
        <w:t>In addition, the Trust is opening a Free School for children with social</w:t>
      </w:r>
      <w:r w:rsidR="0048359E" w:rsidRPr="009D31CA">
        <w:rPr>
          <w:rFonts w:cs="Arial"/>
          <w:szCs w:val="24"/>
        </w:rPr>
        <w:t xml:space="preserve">, </w:t>
      </w:r>
      <w:proofErr w:type="gramStart"/>
      <w:r w:rsidR="7FD793AD" w:rsidRPr="009D31CA">
        <w:rPr>
          <w:rFonts w:cs="Arial"/>
          <w:szCs w:val="24"/>
        </w:rPr>
        <w:t>emotional</w:t>
      </w:r>
      <w:proofErr w:type="gramEnd"/>
      <w:r w:rsidR="7FD793AD" w:rsidRPr="009D31CA">
        <w:rPr>
          <w:rFonts w:cs="Arial"/>
          <w:szCs w:val="24"/>
        </w:rPr>
        <w:t xml:space="preserve"> and mental health challenges, in September 2022</w:t>
      </w:r>
      <w:r w:rsidRPr="009D31CA">
        <w:rPr>
          <w:rFonts w:cs="Arial"/>
          <w:szCs w:val="24"/>
        </w:rPr>
        <w:t>.</w:t>
      </w:r>
    </w:p>
    <w:p w14:paraId="6FEA206A" w14:textId="77777777" w:rsidR="008B6993" w:rsidRPr="009D31CA" w:rsidRDefault="008B6993" w:rsidP="00D81709">
      <w:pPr>
        <w:spacing w:line="276" w:lineRule="auto"/>
        <w:jc w:val="both"/>
        <w:rPr>
          <w:rFonts w:cs="Arial"/>
          <w:szCs w:val="24"/>
        </w:rPr>
      </w:pPr>
    </w:p>
    <w:p w14:paraId="5C98B02F" w14:textId="57C788CE" w:rsidR="002B0B4C" w:rsidRPr="009D31CA" w:rsidRDefault="00931958" w:rsidP="00D81709">
      <w:pPr>
        <w:spacing w:after="200" w:line="276" w:lineRule="auto"/>
        <w:jc w:val="both"/>
        <w:rPr>
          <w:rFonts w:cs="Arial"/>
          <w:szCs w:val="24"/>
        </w:rPr>
      </w:pPr>
      <w:r w:rsidRPr="009D31CA">
        <w:rPr>
          <w:rFonts w:cs="Arial"/>
          <w:szCs w:val="24"/>
        </w:rPr>
        <w:t>You</w:t>
      </w:r>
      <w:r w:rsidR="00FE36FF" w:rsidRPr="009D31CA">
        <w:rPr>
          <w:rFonts w:cs="Arial"/>
          <w:szCs w:val="24"/>
        </w:rPr>
        <w:t xml:space="preserve"> will be required to work flexibly</w:t>
      </w:r>
      <w:r w:rsidR="001545FC" w:rsidRPr="009D31CA">
        <w:rPr>
          <w:rFonts w:cs="Arial"/>
          <w:szCs w:val="24"/>
        </w:rPr>
        <w:t xml:space="preserve"> at any </w:t>
      </w:r>
      <w:r w:rsidR="004779FF" w:rsidRPr="009D31CA">
        <w:rPr>
          <w:rFonts w:cs="Arial"/>
          <w:szCs w:val="24"/>
        </w:rPr>
        <w:t xml:space="preserve">of the </w:t>
      </w:r>
      <w:r w:rsidR="001545FC" w:rsidRPr="009D31CA">
        <w:rPr>
          <w:rFonts w:cs="Arial"/>
          <w:szCs w:val="24"/>
        </w:rPr>
        <w:t xml:space="preserve">premises occupied by the Employer or any of the Employer’s Academies within Devon as directed by the Employer.  </w:t>
      </w:r>
    </w:p>
    <w:p w14:paraId="68ABE7A5" w14:textId="1D7BACBB" w:rsidR="002B0B4C" w:rsidRPr="009D31CA" w:rsidRDefault="002B0B4C" w:rsidP="00D81709">
      <w:pPr>
        <w:pStyle w:val="BodyText"/>
        <w:spacing w:line="276" w:lineRule="auto"/>
        <w:rPr>
          <w:rFonts w:ascii="Arial" w:hAnsi="Arial" w:cs="Arial"/>
          <w:szCs w:val="24"/>
        </w:rPr>
      </w:pPr>
      <w:r w:rsidRPr="009D31CA">
        <w:rPr>
          <w:rFonts w:ascii="Arial" w:hAnsi="Arial" w:cs="Arial"/>
          <w:szCs w:val="24"/>
        </w:rPr>
        <w:t xml:space="preserve">This job description is not a comprehensive definition of the post. Discussions will take place on a regular basis to clarify individual responsibilities within the general framework and character of the post as identified below. </w:t>
      </w:r>
      <w:r w:rsidR="00955D3F" w:rsidRPr="009D31CA">
        <w:rPr>
          <w:rFonts w:ascii="Arial" w:hAnsi="Arial" w:cs="Arial"/>
          <w:szCs w:val="24"/>
        </w:rPr>
        <w:t xml:space="preserve">  Job descriptions should be reviewed at least annually at the appraisal meeting.</w:t>
      </w:r>
    </w:p>
    <w:p w14:paraId="477CA15A" w14:textId="5DF4A3D6" w:rsidR="00431D8D" w:rsidRPr="009D31CA" w:rsidRDefault="00431D8D" w:rsidP="00D81709">
      <w:pPr>
        <w:pStyle w:val="BodyText"/>
        <w:spacing w:line="276" w:lineRule="auto"/>
        <w:rPr>
          <w:rFonts w:ascii="Arial" w:hAnsi="Arial" w:cs="Arial"/>
          <w:i/>
          <w:iCs/>
          <w:szCs w:val="24"/>
        </w:rPr>
      </w:pPr>
    </w:p>
    <w:p w14:paraId="25E2865A" w14:textId="77777777" w:rsidR="002B0B4C" w:rsidRPr="009D31CA" w:rsidRDefault="002B0B4C" w:rsidP="00D81709">
      <w:pPr>
        <w:spacing w:line="276" w:lineRule="auto"/>
        <w:jc w:val="both"/>
        <w:outlineLvl w:val="0"/>
        <w:rPr>
          <w:rFonts w:cs="Arial"/>
          <w:b/>
          <w:szCs w:val="24"/>
        </w:rPr>
      </w:pPr>
    </w:p>
    <w:p w14:paraId="12EBAB50" w14:textId="300DF3DA" w:rsidR="00D64DA4" w:rsidRDefault="00F3190A" w:rsidP="00D64DA4">
      <w:pPr>
        <w:spacing w:line="276" w:lineRule="auto"/>
        <w:jc w:val="both"/>
        <w:rPr>
          <w:rFonts w:cs="Arial"/>
          <w:b/>
          <w:szCs w:val="24"/>
        </w:rPr>
      </w:pPr>
      <w:r w:rsidRPr="009D31CA">
        <w:rPr>
          <w:rFonts w:cs="Arial"/>
          <w:b/>
          <w:szCs w:val="24"/>
        </w:rPr>
        <w:t>Job Purpose:</w:t>
      </w:r>
    </w:p>
    <w:p w14:paraId="2250B99B" w14:textId="77777777" w:rsidR="00503BFA" w:rsidRPr="00D64DA4" w:rsidRDefault="00503BFA" w:rsidP="00D64DA4">
      <w:pPr>
        <w:spacing w:line="276" w:lineRule="auto"/>
        <w:jc w:val="both"/>
        <w:rPr>
          <w:rFonts w:cs="Arial"/>
          <w:b/>
          <w:szCs w:val="24"/>
        </w:rPr>
      </w:pPr>
    </w:p>
    <w:p w14:paraId="7617C80B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ensure best practice when supporting pupils across the Trust (primary and secondary) with complex speech, </w:t>
      </w:r>
      <w:proofErr w:type="gramStart"/>
      <w:r w:rsidRPr="00503BFA">
        <w:rPr>
          <w:rFonts w:cs="Arial"/>
          <w:szCs w:val="24"/>
        </w:rPr>
        <w:t>language</w:t>
      </w:r>
      <w:proofErr w:type="gramEnd"/>
      <w:r w:rsidRPr="00503BFA">
        <w:rPr>
          <w:rFonts w:cs="Arial"/>
          <w:szCs w:val="24"/>
        </w:rPr>
        <w:t xml:space="preserve"> and communication difficulties. </w:t>
      </w:r>
    </w:p>
    <w:p w14:paraId="09623FBE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</w:p>
    <w:p w14:paraId="19340550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support the development of staff, and provide training to Trust staff as directed, </w:t>
      </w:r>
      <w:proofErr w:type="gramStart"/>
      <w:r w:rsidRPr="00503BFA">
        <w:rPr>
          <w:rFonts w:cs="Arial"/>
          <w:szCs w:val="24"/>
        </w:rPr>
        <w:t>in the area of</w:t>
      </w:r>
      <w:proofErr w:type="gramEnd"/>
      <w:r w:rsidRPr="00503BFA">
        <w:rPr>
          <w:rFonts w:cs="Arial"/>
          <w:szCs w:val="24"/>
        </w:rPr>
        <w:t xml:space="preserve"> speech and language to ensure all trust schools are universally speech and language friendly. </w:t>
      </w:r>
    </w:p>
    <w:p w14:paraId="7BBC84C2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</w:p>
    <w:p w14:paraId="0A3DF73F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work collaboratively with our Special Educational Needs Coordinators (SENDCos) to ensure that the needs of vulnerable children and young people are met.</w:t>
      </w:r>
    </w:p>
    <w:p w14:paraId="0642ED9A" w14:textId="77777777" w:rsidR="00D64DA4" w:rsidRPr="00503BFA" w:rsidRDefault="00D64DA4" w:rsidP="00D64DA4">
      <w:pPr>
        <w:spacing w:line="276" w:lineRule="auto"/>
        <w:jc w:val="both"/>
        <w:rPr>
          <w:rFonts w:cs="Arial"/>
          <w:szCs w:val="24"/>
        </w:rPr>
      </w:pPr>
    </w:p>
    <w:p w14:paraId="50A1EBE2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lastRenderedPageBreak/>
        <w:t xml:space="preserve">To promote the Trusts' vision for world class safeguarding, model excellent practice and ensure that all role emerging trainees adopt and adhere to safeguarding policy, </w:t>
      </w:r>
      <w:proofErr w:type="gramStart"/>
      <w:r w:rsidRPr="00503BFA">
        <w:rPr>
          <w:rFonts w:cs="Arial"/>
          <w:szCs w:val="24"/>
        </w:rPr>
        <w:t>protocol</w:t>
      </w:r>
      <w:proofErr w:type="gramEnd"/>
      <w:r w:rsidRPr="00503BFA">
        <w:rPr>
          <w:rFonts w:cs="Arial"/>
          <w:szCs w:val="24"/>
        </w:rPr>
        <w:t xml:space="preserve"> and practice. </w:t>
      </w:r>
    </w:p>
    <w:p w14:paraId="6EE32D1E" w14:textId="77777777" w:rsidR="00D64DA4" w:rsidRPr="00503BFA" w:rsidRDefault="00D64DA4" w:rsidP="00D64DA4">
      <w:pPr>
        <w:spacing w:line="276" w:lineRule="auto"/>
        <w:jc w:val="both"/>
        <w:rPr>
          <w:rFonts w:cs="Arial"/>
          <w:szCs w:val="24"/>
        </w:rPr>
      </w:pPr>
    </w:p>
    <w:p w14:paraId="1C46C6F2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provide training and continuing professional development opportunities to Trust staff as directed. </w:t>
      </w:r>
    </w:p>
    <w:p w14:paraId="624AECE2" w14:textId="77777777" w:rsidR="00D64DA4" w:rsidRPr="00503BFA" w:rsidRDefault="00D64DA4" w:rsidP="00D64DA4">
      <w:pPr>
        <w:spacing w:line="276" w:lineRule="auto"/>
        <w:jc w:val="both"/>
        <w:rPr>
          <w:rFonts w:cs="Arial"/>
          <w:szCs w:val="24"/>
        </w:rPr>
      </w:pPr>
    </w:p>
    <w:p w14:paraId="6F6E7211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demonstrate specialist knowledge in speech and language therapy and support the development of other staff in this area.</w:t>
      </w:r>
    </w:p>
    <w:p w14:paraId="7B1AD974" w14:textId="77777777" w:rsidR="00D64DA4" w:rsidRPr="00503BFA" w:rsidRDefault="00D64DA4" w:rsidP="00D64DA4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 </w:t>
      </w:r>
    </w:p>
    <w:p w14:paraId="50152AE7" w14:textId="77777777" w:rsidR="00D64DA4" w:rsidRPr="00503BFA" w:rsidRDefault="00D64DA4" w:rsidP="00503BFA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Through Early Help or Annual Review processes and in close collaboration with Designated Safeguarding leads and/or SENDCo’s as appropriate and per policies to initiate and/or contribute to multi-agency case discussions and management in relation to complex cases when the need for this has been identified through assessment and observation, including child protection issues, ensuring a well-coordinated care plan and pathway.</w:t>
      </w:r>
    </w:p>
    <w:p w14:paraId="661F9CAC" w14:textId="10819155" w:rsidR="00F3190A" w:rsidRPr="009D31CA" w:rsidRDefault="00F3190A" w:rsidP="00D81709">
      <w:pPr>
        <w:spacing w:line="276" w:lineRule="auto"/>
        <w:jc w:val="both"/>
        <w:rPr>
          <w:rFonts w:cs="Arial"/>
          <w:szCs w:val="24"/>
        </w:rPr>
      </w:pPr>
    </w:p>
    <w:p w14:paraId="109AACCF" w14:textId="70F36254" w:rsidR="00DB4EBF" w:rsidRDefault="006E5840" w:rsidP="00D81709">
      <w:pPr>
        <w:spacing w:line="276" w:lineRule="auto"/>
        <w:jc w:val="both"/>
        <w:rPr>
          <w:rFonts w:cs="Arial"/>
          <w:szCs w:val="24"/>
        </w:rPr>
      </w:pPr>
      <w:r w:rsidRPr="009D31CA">
        <w:rPr>
          <w:rFonts w:cs="Arial"/>
          <w:b/>
          <w:bCs/>
          <w:szCs w:val="24"/>
        </w:rPr>
        <w:t>Main duties and responsibilities</w:t>
      </w:r>
      <w:r w:rsidRPr="009D31CA">
        <w:rPr>
          <w:rFonts w:cs="Arial"/>
          <w:szCs w:val="24"/>
        </w:rPr>
        <w:t>:</w:t>
      </w:r>
    </w:p>
    <w:p w14:paraId="44102CAC" w14:textId="3B8E9B93" w:rsidR="004F02A9" w:rsidRDefault="004F02A9" w:rsidP="00D81709">
      <w:pPr>
        <w:spacing w:line="276" w:lineRule="auto"/>
        <w:jc w:val="both"/>
        <w:rPr>
          <w:rFonts w:cs="Arial"/>
          <w:szCs w:val="24"/>
        </w:rPr>
      </w:pPr>
    </w:p>
    <w:p w14:paraId="54636E22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identify, collect, analyse, and interpret information and data from to effectively monitor pupil progress.</w:t>
      </w:r>
    </w:p>
    <w:p w14:paraId="3A9B04C8" w14:textId="77777777" w:rsidR="004F02A9" w:rsidRPr="00503BFA" w:rsidRDefault="004F02A9" w:rsidP="004F02A9">
      <w:pPr>
        <w:rPr>
          <w:rFonts w:cs="Arial"/>
          <w:szCs w:val="24"/>
        </w:rPr>
      </w:pPr>
    </w:p>
    <w:p w14:paraId="68133ACE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undertake a range of formal and informal assessments as indicated by the presenting of speech, </w:t>
      </w:r>
      <w:proofErr w:type="gramStart"/>
      <w:r w:rsidRPr="00503BFA">
        <w:rPr>
          <w:rFonts w:cs="Arial"/>
          <w:szCs w:val="24"/>
        </w:rPr>
        <w:t>language</w:t>
      </w:r>
      <w:proofErr w:type="gramEnd"/>
      <w:r w:rsidRPr="00503BFA">
        <w:rPr>
          <w:rFonts w:cs="Arial"/>
          <w:szCs w:val="24"/>
        </w:rPr>
        <w:t xml:space="preserve"> and communication difficulties (SLCD) and other factors, including analysis of understanding and use of voice, grammar, vocabulary, speech sounds, fluency, social use of language, non-verbal communication, carer-child interaction and play skills, and make judgements from these concerning prioritisation and future management.  </w:t>
      </w:r>
    </w:p>
    <w:p w14:paraId="44C3DBFC" w14:textId="77777777" w:rsidR="004F02A9" w:rsidRPr="00503BFA" w:rsidRDefault="004F02A9" w:rsidP="004F02A9">
      <w:pPr>
        <w:spacing w:line="276" w:lineRule="auto"/>
        <w:jc w:val="both"/>
        <w:rPr>
          <w:rFonts w:cs="Arial"/>
          <w:szCs w:val="24"/>
        </w:rPr>
      </w:pPr>
    </w:p>
    <w:p w14:paraId="28DB22A6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reach differential diagnoses </w:t>
      </w:r>
      <w:proofErr w:type="gramStart"/>
      <w:r w:rsidRPr="00503BFA">
        <w:rPr>
          <w:rFonts w:cs="Arial"/>
          <w:szCs w:val="24"/>
        </w:rPr>
        <w:t>on the basis of</w:t>
      </w:r>
      <w:proofErr w:type="gramEnd"/>
      <w:r w:rsidRPr="00503BFA">
        <w:rPr>
          <w:rFonts w:cs="Arial"/>
          <w:szCs w:val="24"/>
        </w:rPr>
        <w:t xml:space="preserve"> assimilated evidence from formal and informal assessments – some of which may be conflicting, and with reference to typical and atypical developmental norms and research evidence.</w:t>
      </w:r>
    </w:p>
    <w:p w14:paraId="79CCF472" w14:textId="77777777" w:rsidR="004F02A9" w:rsidRPr="00503BFA" w:rsidRDefault="004F02A9" w:rsidP="004F02A9">
      <w:pPr>
        <w:spacing w:line="276" w:lineRule="auto"/>
        <w:jc w:val="both"/>
        <w:rPr>
          <w:rFonts w:cs="Arial"/>
          <w:szCs w:val="24"/>
        </w:rPr>
      </w:pPr>
    </w:p>
    <w:p w14:paraId="46CAB7D1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prioritise and decide on appropriate levels of support, and to adapt and modify options based on extended clinical expertise whilst ensuring client/carers are fully involved in the decision-making process.</w:t>
      </w:r>
    </w:p>
    <w:p w14:paraId="69FAB73F" w14:textId="77777777" w:rsidR="004F02A9" w:rsidRPr="00503BFA" w:rsidRDefault="004F02A9" w:rsidP="004F02A9">
      <w:pPr>
        <w:pStyle w:val="ListParagraph"/>
        <w:spacing w:line="276" w:lineRule="auto"/>
        <w:jc w:val="both"/>
        <w:rPr>
          <w:rFonts w:cs="Arial"/>
          <w:szCs w:val="24"/>
        </w:rPr>
      </w:pPr>
    </w:p>
    <w:p w14:paraId="5254E26C" w14:textId="2B130BA8" w:rsidR="004F02A9" w:rsidRPr="00503BFA" w:rsidRDefault="004F02A9" w:rsidP="004F02A9">
      <w:pPr>
        <w:numPr>
          <w:ilvl w:val="0"/>
          <w:numId w:val="3"/>
        </w:numPr>
        <w:spacing w:after="200"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provide assessment and communication advice across </w:t>
      </w:r>
      <w:r w:rsidR="0023324D">
        <w:rPr>
          <w:rFonts w:cs="Arial"/>
          <w:szCs w:val="24"/>
        </w:rPr>
        <w:t xml:space="preserve">The Promise School </w:t>
      </w:r>
      <w:r w:rsidRPr="00503BFA">
        <w:rPr>
          <w:rFonts w:cs="Arial"/>
          <w:szCs w:val="24"/>
        </w:rPr>
        <w:t>implementation by teachers, teaching assistants and other professionals as appropriate.</w:t>
      </w:r>
    </w:p>
    <w:p w14:paraId="1D7F30B6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be responsible for writing and dissemination reports based on assessment and progress to appropriate internal and external professionals, including legal </w:t>
      </w:r>
      <w:r w:rsidRPr="00503BFA">
        <w:rPr>
          <w:rFonts w:cs="Arial"/>
          <w:szCs w:val="24"/>
        </w:rPr>
        <w:lastRenderedPageBreak/>
        <w:t xml:space="preserve">Education Health and Care Plans and/or documentation for child protection cases. </w:t>
      </w:r>
    </w:p>
    <w:p w14:paraId="337C8A0A" w14:textId="77777777" w:rsidR="004F02A9" w:rsidRPr="00503BFA" w:rsidRDefault="004F02A9" w:rsidP="004F02A9">
      <w:pPr>
        <w:spacing w:line="276" w:lineRule="auto"/>
        <w:jc w:val="both"/>
        <w:rPr>
          <w:rFonts w:cs="Arial"/>
          <w:szCs w:val="24"/>
        </w:rPr>
      </w:pPr>
    </w:p>
    <w:p w14:paraId="4BC865E4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explain highly complex and sensitive case related information to meet a range of levels of understanding of school personnel, </w:t>
      </w:r>
      <w:proofErr w:type="gramStart"/>
      <w:r w:rsidRPr="00503BFA">
        <w:rPr>
          <w:rFonts w:cs="Arial"/>
          <w:szCs w:val="24"/>
        </w:rPr>
        <w:t>parents</w:t>
      </w:r>
      <w:proofErr w:type="gramEnd"/>
      <w:r w:rsidRPr="00503BFA">
        <w:rPr>
          <w:rFonts w:cs="Arial"/>
          <w:szCs w:val="24"/>
        </w:rPr>
        <w:t xml:space="preserve"> and carers, where anxiety often acts as a barrier and co-operation is not guaranteed.  To recognise that the communication difficulty may be the first indicator of deeper more complex problems and to counsel parents and carers accordingly.</w:t>
      </w:r>
    </w:p>
    <w:p w14:paraId="61F9C7DF" w14:textId="77777777" w:rsidR="004F02A9" w:rsidRPr="00503BFA" w:rsidRDefault="004F02A9" w:rsidP="004F02A9">
      <w:pPr>
        <w:spacing w:line="276" w:lineRule="auto"/>
        <w:jc w:val="both"/>
        <w:rPr>
          <w:rFonts w:cs="Arial"/>
          <w:szCs w:val="24"/>
        </w:rPr>
      </w:pPr>
    </w:p>
    <w:p w14:paraId="4675B35E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demonstrate empathy and reassurance when providing parents and carers with complex information that has long-term implications for educational and social development </w:t>
      </w:r>
      <w:proofErr w:type="gramStart"/>
      <w:r w:rsidRPr="00503BFA">
        <w:rPr>
          <w:rFonts w:cs="Arial"/>
          <w:szCs w:val="24"/>
        </w:rPr>
        <w:t>e.g.</w:t>
      </w:r>
      <w:proofErr w:type="gramEnd"/>
      <w:r w:rsidRPr="00503BFA">
        <w:rPr>
          <w:rFonts w:cs="Arial"/>
          <w:szCs w:val="24"/>
        </w:rPr>
        <w:t xml:space="preserve"> children whose communication difficulties are unlikely to resolve and there are lifelong implications.</w:t>
      </w:r>
    </w:p>
    <w:p w14:paraId="2C6EF291" w14:textId="77777777" w:rsidR="004F02A9" w:rsidRPr="00503BFA" w:rsidRDefault="004F02A9" w:rsidP="004F02A9">
      <w:pPr>
        <w:spacing w:line="276" w:lineRule="auto"/>
        <w:ind w:left="360"/>
        <w:jc w:val="both"/>
        <w:rPr>
          <w:rFonts w:cs="Arial"/>
          <w:szCs w:val="24"/>
        </w:rPr>
      </w:pPr>
    </w:p>
    <w:p w14:paraId="375C8137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monitor, recognise, </w:t>
      </w:r>
      <w:proofErr w:type="gramStart"/>
      <w:r w:rsidRPr="00503BFA">
        <w:rPr>
          <w:rFonts w:cs="Arial"/>
          <w:szCs w:val="24"/>
        </w:rPr>
        <w:t>assess</w:t>
      </w:r>
      <w:proofErr w:type="gramEnd"/>
      <w:r w:rsidRPr="00503BFA">
        <w:rPr>
          <w:rFonts w:cs="Arial"/>
          <w:szCs w:val="24"/>
        </w:rPr>
        <w:t xml:space="preserve"> and evaluate subtle changes in student’s conditions and adapt assessment and specialised treatment programmes accordingly.</w:t>
      </w:r>
    </w:p>
    <w:p w14:paraId="72D5DAF7" w14:textId="77777777" w:rsidR="004F02A9" w:rsidRPr="00503BFA" w:rsidRDefault="004F02A9" w:rsidP="004F02A9">
      <w:pPr>
        <w:spacing w:line="276" w:lineRule="auto"/>
        <w:jc w:val="both"/>
        <w:rPr>
          <w:rFonts w:cs="Arial"/>
          <w:szCs w:val="24"/>
        </w:rPr>
      </w:pPr>
    </w:p>
    <w:p w14:paraId="113E3A95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negotiate with school personnel, carers/ parents and external professionals around individual case diagnosis and management where others have less specialist knowledge and/or experience in relation to SLCD, and differences of professional judgement can occur </w:t>
      </w:r>
      <w:proofErr w:type="gramStart"/>
      <w:r w:rsidRPr="00503BFA">
        <w:rPr>
          <w:rFonts w:cs="Arial"/>
          <w:szCs w:val="24"/>
        </w:rPr>
        <w:t>e.g.</w:t>
      </w:r>
      <w:proofErr w:type="gramEnd"/>
      <w:r w:rsidRPr="00503BFA">
        <w:rPr>
          <w:rFonts w:cs="Arial"/>
          <w:szCs w:val="24"/>
        </w:rPr>
        <w:t xml:space="preserve"> levels of priority for intervention and impact of the communication difficulty on accessing the educational curriculum. </w:t>
      </w:r>
    </w:p>
    <w:p w14:paraId="1B5A1B8E" w14:textId="77777777" w:rsidR="004F02A9" w:rsidRPr="00503BFA" w:rsidRDefault="004F02A9" w:rsidP="004F02A9">
      <w:pPr>
        <w:spacing w:line="276" w:lineRule="auto"/>
        <w:ind w:firstLine="120"/>
        <w:jc w:val="both"/>
        <w:rPr>
          <w:rFonts w:cs="Arial"/>
          <w:szCs w:val="24"/>
        </w:rPr>
      </w:pPr>
    </w:p>
    <w:p w14:paraId="6ADFDD9E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be responsible for training others about speech &amp; language development and disorders and how to manage these in different contexts to include: nursery staff, teachers, teacher assistants and relevant others.</w:t>
      </w:r>
    </w:p>
    <w:p w14:paraId="2945D7BB" w14:textId="77777777" w:rsidR="004F02A9" w:rsidRPr="00503BFA" w:rsidRDefault="004F02A9" w:rsidP="004F02A9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 </w:t>
      </w:r>
    </w:p>
    <w:p w14:paraId="7771F8F9" w14:textId="77777777" w:rsidR="004F02A9" w:rsidRPr="00503BFA" w:rsidRDefault="004F02A9" w:rsidP="004F02A9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reflect on practice both individually and with peers/mentors to identify own strengths and development needs.</w:t>
      </w:r>
    </w:p>
    <w:p w14:paraId="68F32F1E" w14:textId="77777777" w:rsidR="004F02A9" w:rsidRPr="009D31CA" w:rsidRDefault="004F02A9" w:rsidP="00D81709">
      <w:pPr>
        <w:spacing w:line="276" w:lineRule="auto"/>
        <w:jc w:val="both"/>
        <w:rPr>
          <w:rFonts w:cs="Arial"/>
          <w:szCs w:val="24"/>
        </w:rPr>
      </w:pPr>
    </w:p>
    <w:p w14:paraId="7C93FD0F" w14:textId="77777777" w:rsidR="00677C29" w:rsidRPr="00CF1957" w:rsidRDefault="00677C29" w:rsidP="00D81709">
      <w:pPr>
        <w:spacing w:line="276" w:lineRule="auto"/>
        <w:ind w:right="-1333"/>
        <w:jc w:val="both"/>
        <w:rPr>
          <w:rFonts w:asciiTheme="minorHAnsi" w:hAnsiTheme="minorHAnsi" w:cstheme="minorHAnsi"/>
          <w:b/>
          <w:szCs w:val="24"/>
        </w:rPr>
      </w:pPr>
    </w:p>
    <w:p w14:paraId="060A772E" w14:textId="49B386A7" w:rsidR="00677C29" w:rsidRPr="00CF1957" w:rsidRDefault="00677C29" w:rsidP="00D81709">
      <w:pPr>
        <w:spacing w:line="276" w:lineRule="auto"/>
        <w:ind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 xml:space="preserve">All schools in Dartmoor Multi Academy Trust are committed to safeguarding and promoting the welfare of children and young </w:t>
      </w:r>
      <w:proofErr w:type="gramStart"/>
      <w:r w:rsidRPr="00CF1957">
        <w:rPr>
          <w:rFonts w:asciiTheme="minorHAnsi" w:hAnsiTheme="minorHAnsi" w:cstheme="minorHAnsi"/>
          <w:b/>
          <w:szCs w:val="24"/>
        </w:rPr>
        <w:t>people, and</w:t>
      </w:r>
      <w:proofErr w:type="gramEnd"/>
      <w:r w:rsidRPr="00CF1957">
        <w:rPr>
          <w:rFonts w:asciiTheme="minorHAnsi" w:hAnsiTheme="minorHAnsi" w:cstheme="minorHAnsi"/>
          <w:b/>
          <w:szCs w:val="24"/>
        </w:rPr>
        <w:t xml:space="preserve"> expect all staff and volunteers to share this commitment.</w:t>
      </w:r>
    </w:p>
    <w:p w14:paraId="5A8AD61C" w14:textId="77777777" w:rsidR="00677C29" w:rsidRPr="00CF1957" w:rsidRDefault="00677C29" w:rsidP="00D81709">
      <w:pPr>
        <w:spacing w:line="276" w:lineRule="auto"/>
        <w:ind w:right="-46"/>
        <w:jc w:val="both"/>
        <w:rPr>
          <w:rFonts w:asciiTheme="minorHAnsi" w:hAnsiTheme="minorHAnsi" w:cstheme="minorHAnsi"/>
          <w:b/>
          <w:szCs w:val="24"/>
        </w:rPr>
      </w:pPr>
    </w:p>
    <w:p w14:paraId="3848EF4C" w14:textId="64787655" w:rsidR="00D81709" w:rsidRDefault="00677C29" w:rsidP="00D81709">
      <w:pPr>
        <w:spacing w:line="276" w:lineRule="auto"/>
        <w:ind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>The successful candidate will be required to undertake an Enhanced Disclosure via the Disclosure</w:t>
      </w:r>
      <w:r w:rsidR="00D81709">
        <w:rPr>
          <w:rFonts w:asciiTheme="minorHAnsi" w:hAnsiTheme="minorHAnsi" w:cstheme="minorHAnsi"/>
          <w:b/>
          <w:szCs w:val="24"/>
        </w:rPr>
        <w:t xml:space="preserve"> </w:t>
      </w:r>
      <w:r w:rsidRPr="00CF1957">
        <w:rPr>
          <w:rFonts w:asciiTheme="minorHAnsi" w:hAnsiTheme="minorHAnsi" w:cstheme="minorHAnsi"/>
          <w:b/>
          <w:szCs w:val="24"/>
        </w:rPr>
        <w:t>Barring Service (DBS).</w:t>
      </w:r>
    </w:p>
    <w:p w14:paraId="1F560076" w14:textId="7B1BD179" w:rsidR="00F3190A" w:rsidRPr="00D81709" w:rsidRDefault="00D81709" w:rsidP="00D81709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  <w:r w:rsidR="00F3190A" w:rsidRPr="00D81709">
        <w:rPr>
          <w:rFonts w:asciiTheme="minorHAnsi" w:hAnsiTheme="minorHAnsi" w:cstheme="minorHAnsi"/>
          <w:b/>
          <w:sz w:val="28"/>
          <w:szCs w:val="28"/>
        </w:rPr>
        <w:lastRenderedPageBreak/>
        <w:t>Person specification:</w:t>
      </w:r>
    </w:p>
    <w:p w14:paraId="415C657D" w14:textId="77777777" w:rsidR="00F3190A" w:rsidRPr="00CF1957" w:rsidRDefault="00F3190A" w:rsidP="00A855C5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835"/>
      </w:tblGrid>
      <w:tr w:rsidR="00CF1957" w:rsidRPr="00CF1957" w14:paraId="48B29A8C" w14:textId="77777777" w:rsidTr="008E39CF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14:paraId="10AE5636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Attribute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1B61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Essential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D0FD7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Desirable</w:t>
            </w:r>
          </w:p>
        </w:tc>
      </w:tr>
      <w:tr w:rsidR="00CF1957" w:rsidRPr="00CF1957" w14:paraId="26D2C979" w14:textId="77777777" w:rsidTr="008E39CF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14:paraId="4BC94B01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Experience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CECCE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 xml:space="preserve">Minimum 2 years post-graduate experience. </w:t>
            </w:r>
          </w:p>
          <w:p w14:paraId="224570EE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Significant Paediatric SLT experience.</w:t>
            </w:r>
          </w:p>
          <w:p w14:paraId="5D0A28FC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360"/>
            </w:pPr>
            <w:r w:rsidRPr="008E39CF">
              <w:t xml:space="preserve">Specialist knowledge in speech and language therapy. </w:t>
            </w:r>
          </w:p>
          <w:p w14:paraId="69D3332C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360"/>
            </w:pPr>
            <w:r w:rsidRPr="008E39CF">
              <w:t>Experience undertaking initial assessments using a wide range of assessment tools/methods.</w:t>
            </w:r>
          </w:p>
          <w:p w14:paraId="665F00D7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360"/>
            </w:pPr>
            <w:r w:rsidRPr="008E39CF">
              <w:t xml:space="preserve">Experience in the diagnosis, </w:t>
            </w:r>
            <w:proofErr w:type="gramStart"/>
            <w:r w:rsidRPr="008E39CF">
              <w:t>treatment</w:t>
            </w:r>
            <w:proofErr w:type="gramEnd"/>
            <w:r w:rsidRPr="008E39CF">
              <w:t xml:space="preserve"> and general management of a wide range of speech, language and communication difficulties across primary and secondary.</w:t>
            </w:r>
          </w:p>
          <w:p w14:paraId="65B01A7C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 xml:space="preserve">Experience writing and dissemination reports based on assessment and progress to appropriate internal and external professionals, including legal Education Health and Care Plans and/or documentation for child protection cases. </w:t>
            </w:r>
          </w:p>
          <w:p w14:paraId="2FF4F3D8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delivering group and individual therapy.</w:t>
            </w:r>
          </w:p>
          <w:p w14:paraId="633B756A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formulating pupil treatment plans in conjunction with parents and carers.</w:t>
            </w:r>
          </w:p>
          <w:p w14:paraId="7B145C70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setting outcome focussed therapy goals.</w:t>
            </w:r>
          </w:p>
          <w:p w14:paraId="572B3B55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supporting and advising parents/carers and other professional regarding strategies to help pupils with communication difficulties.</w:t>
            </w:r>
          </w:p>
          <w:p w14:paraId="30901574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working with children with additional needs.</w:t>
            </w:r>
          </w:p>
          <w:p w14:paraId="2293DA5C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contributing to IEP and attending SEND annual review meetings.</w:t>
            </w:r>
          </w:p>
          <w:p w14:paraId="1D2CBF62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delivering training.</w:t>
            </w:r>
          </w:p>
          <w:p w14:paraId="58B6E2C6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working with SLT students.</w:t>
            </w:r>
          </w:p>
          <w:p w14:paraId="7B26AD67" w14:textId="77777777" w:rsidR="00042C72" w:rsidRPr="008E39CF" w:rsidRDefault="00042C72" w:rsidP="00042C7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in the clinical education of SLT students.</w:t>
            </w:r>
          </w:p>
          <w:p w14:paraId="38933A94" w14:textId="5F990779" w:rsidR="00EB4AF4" w:rsidRPr="008E39CF" w:rsidRDefault="00EB4AF4" w:rsidP="00CA474D">
            <w:pPr>
              <w:spacing w:line="276" w:lineRule="auto"/>
            </w:pPr>
          </w:p>
          <w:p w14:paraId="6F947B6C" w14:textId="252692CF" w:rsidR="00475894" w:rsidRPr="008E39CF" w:rsidRDefault="00475894" w:rsidP="00EB4AF4">
            <w:pPr>
              <w:tabs>
                <w:tab w:val="num" w:pos="438"/>
              </w:tabs>
              <w:spacing w:line="276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71B90" w14:textId="77777777" w:rsidR="00E30FB2" w:rsidRPr="008E39CF" w:rsidRDefault="00E30FB2" w:rsidP="008E39CF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8E39CF">
              <w:t>Experience working within special school or other additional needs settings.</w:t>
            </w:r>
          </w:p>
          <w:p w14:paraId="2E4FCD34" w14:textId="5DCADBDF" w:rsidR="00475894" w:rsidRPr="008E39CF" w:rsidRDefault="00475894" w:rsidP="00E30FB2">
            <w:pPr>
              <w:tabs>
                <w:tab w:val="num" w:pos="438"/>
              </w:tabs>
              <w:spacing w:line="276" w:lineRule="auto"/>
            </w:pPr>
          </w:p>
        </w:tc>
      </w:tr>
      <w:tr w:rsidR="00CF1957" w:rsidRPr="00CF1957" w14:paraId="0F4DCCDD" w14:textId="77777777" w:rsidTr="008E39CF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14:paraId="0D6C026A" w14:textId="0FB2ECBF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Communication</w:t>
            </w:r>
            <w:r w:rsidR="0019769F" w:rsidRPr="00CF1957">
              <w:rPr>
                <w:rFonts w:asciiTheme="minorHAnsi" w:hAnsiTheme="minorHAnsi" w:cstheme="minorHAnsi"/>
                <w:szCs w:val="24"/>
              </w:rPr>
              <w:t xml:space="preserve"> / Practical Skills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C76B2" w14:textId="77777777" w:rsidR="00210C47" w:rsidRPr="008E39CF" w:rsidRDefault="00210C47" w:rsidP="00210C4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Excellent verbal and written communication.</w:t>
            </w:r>
          </w:p>
          <w:p w14:paraId="606262EE" w14:textId="77777777" w:rsidR="00210C47" w:rsidRPr="008E39CF" w:rsidRDefault="00210C47" w:rsidP="00210C4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 xml:space="preserve">Excellent interpersonal skills to include observation, active </w:t>
            </w:r>
            <w:proofErr w:type="gramStart"/>
            <w:r w:rsidRPr="008E39CF">
              <w:t>listening</w:t>
            </w:r>
            <w:proofErr w:type="gramEnd"/>
            <w:r w:rsidRPr="008E39CF">
              <w:t xml:space="preserve"> and empathy.</w:t>
            </w:r>
          </w:p>
          <w:p w14:paraId="397A1D40" w14:textId="77777777" w:rsidR="00210C47" w:rsidRPr="008E39CF" w:rsidRDefault="00210C47" w:rsidP="00210C4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lastRenderedPageBreak/>
              <w:t>Excellent clinical management skills.</w:t>
            </w:r>
          </w:p>
          <w:p w14:paraId="1CC10375" w14:textId="77777777" w:rsidR="00210C47" w:rsidRPr="008E39CF" w:rsidRDefault="00210C47" w:rsidP="00210C4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Excellent caseload management skills.</w:t>
            </w:r>
          </w:p>
          <w:p w14:paraId="33AE65DD" w14:textId="77777777" w:rsidR="00210C47" w:rsidRPr="008E39CF" w:rsidRDefault="00210C47" w:rsidP="00210C4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Sound knowledge of safeguarding, consent etc.</w:t>
            </w:r>
          </w:p>
          <w:p w14:paraId="44869844" w14:textId="77777777" w:rsidR="00210C47" w:rsidRPr="008E39CF" w:rsidRDefault="00210C47" w:rsidP="00210C4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Sound knowledge of current best practice within speech and language therapy/clinical conditions.</w:t>
            </w:r>
          </w:p>
          <w:p w14:paraId="0AB909CA" w14:textId="7A8C3F64" w:rsidR="000C2EE0" w:rsidRPr="00CF1957" w:rsidRDefault="00210C47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Ability to interpret data.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92DF8" w14:textId="5F5D2A93" w:rsidR="00475894" w:rsidRPr="00CF1957" w:rsidRDefault="00475894" w:rsidP="008E39CF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1957" w:rsidRPr="00CF1957" w14:paraId="025F6327" w14:textId="77777777" w:rsidTr="008E39CF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14:paraId="36B901FE" w14:textId="5C35EE09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Personal Qualities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5743D30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>Ability to work alone as well as part of a team.</w:t>
            </w:r>
          </w:p>
          <w:p w14:paraId="575C0406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Experience working as part of a multi-disciplinary team. </w:t>
            </w:r>
          </w:p>
          <w:p w14:paraId="00132CC1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>Ability to use initiative.</w:t>
            </w:r>
          </w:p>
          <w:p w14:paraId="7AA8A208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>Excellent organisational skills.</w:t>
            </w:r>
          </w:p>
          <w:p w14:paraId="325CF668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Dynamic, highly </w:t>
            </w:r>
            <w:proofErr w:type="gramStart"/>
            <w:r w:rsidRPr="000D744E">
              <w:t>motivated</w:t>
            </w:r>
            <w:proofErr w:type="gramEnd"/>
            <w:r w:rsidRPr="000D744E">
              <w:t xml:space="preserve"> and reliable. </w:t>
            </w:r>
          </w:p>
          <w:p w14:paraId="3365D1D1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Flexible and willingness to travel across Trust sites to meet needs. </w:t>
            </w:r>
          </w:p>
          <w:p w14:paraId="642F1730" w14:textId="77777777" w:rsidR="00D17E34" w:rsidRPr="000D744E" w:rsidRDefault="00D17E34" w:rsidP="00D17E3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To maintain professional and service standards with adherence to local and national guidelines and clinical governance </w:t>
            </w:r>
            <w:proofErr w:type="gramStart"/>
            <w:r w:rsidRPr="000D744E">
              <w:t>including confidentiality at all times</w:t>
            </w:r>
            <w:proofErr w:type="gramEnd"/>
            <w:r w:rsidRPr="000D744E">
              <w:t>. </w:t>
            </w:r>
          </w:p>
          <w:p w14:paraId="147DE566" w14:textId="6509CB28" w:rsidR="00D43AB7" w:rsidRPr="00CF1957" w:rsidRDefault="00D43AB7" w:rsidP="00D17E34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64150" w14:textId="7ABBF4BC" w:rsidR="00475894" w:rsidRPr="00CF1957" w:rsidRDefault="00475894" w:rsidP="00D17E34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1957" w:rsidRPr="00CF1957" w14:paraId="1DF48F6A" w14:textId="77777777" w:rsidTr="008E39CF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14:paraId="07D979A0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Technology / IT Skills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1CFFF" w14:textId="77777777" w:rsidR="00475894" w:rsidRPr="008E39CF" w:rsidRDefault="0043417B" w:rsidP="00D81709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Proficient user of Microsoft Office.</w:t>
            </w:r>
          </w:p>
          <w:p w14:paraId="69AF6ECD" w14:textId="4843F099" w:rsidR="0043417B" w:rsidRPr="00CF1957" w:rsidRDefault="0043417B" w:rsidP="00D81709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Proficient user of relevant assessment tools.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AAF94" w14:textId="17A8B800" w:rsidR="00475894" w:rsidRPr="00CF1957" w:rsidRDefault="00475894" w:rsidP="00D17E34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F1957" w:rsidRPr="00CF1957" w14:paraId="6D4FC087" w14:textId="77777777" w:rsidTr="008E39CF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14:paraId="4A2E9D5D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Education and Training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2A2B4" w14:textId="6101BD20" w:rsidR="00FB333A" w:rsidRPr="008E39CF" w:rsidRDefault="00FB333A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Degree or equivalent in speech and language therapy.</w:t>
            </w:r>
          </w:p>
          <w:p w14:paraId="3A54A8FF" w14:textId="5D7F2042" w:rsidR="00643E48" w:rsidRPr="008E39CF" w:rsidRDefault="00FB333A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Hold professional registration with the Health &amp; Care Professions Council and the Royal College of SLTs.</w:t>
            </w:r>
            <w:r w:rsidRPr="00CF1957">
              <w:rPr>
                <w:rFonts w:asciiTheme="minorHAnsi" w:hAnsiTheme="minorHAnsi" w:cstheme="minorHAnsi"/>
                <w:szCs w:val="24"/>
              </w:rPr>
              <w:t> 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183B93" w14:textId="77777777" w:rsidR="008E39CF" w:rsidRPr="008E39CF" w:rsidRDefault="008E39CF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Registered member of the RCSLT</w:t>
            </w:r>
          </w:p>
          <w:p w14:paraId="5CE3FFBF" w14:textId="53B22E26" w:rsidR="00315D12" w:rsidRPr="00CF1957" w:rsidRDefault="008E39CF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Involvement in Clinical Excellence Network.</w:t>
            </w:r>
          </w:p>
        </w:tc>
      </w:tr>
      <w:tr w:rsidR="00CF1957" w:rsidRPr="00CF1957" w14:paraId="2C00FCAA" w14:textId="77777777" w:rsidTr="008E39CF">
        <w:trPr>
          <w:trHeight w:val="4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3811F" w14:textId="77777777" w:rsidR="00475894" w:rsidRPr="00CF1957" w:rsidRDefault="00475894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Physical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D7B59" w14:textId="77777777" w:rsidR="00475894" w:rsidRPr="00CF1957" w:rsidRDefault="00475894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Able to carry out the duties of the post with reasonable adjustments where necessary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1CD30" w14:textId="59CF1490" w:rsidR="00475894" w:rsidRPr="00CF1957" w:rsidRDefault="00D81709" w:rsidP="008E39CF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Occupation Health Pre-Placement Health Check</w:t>
            </w:r>
          </w:p>
        </w:tc>
      </w:tr>
      <w:tr w:rsidR="00CF1957" w:rsidRPr="00CF1957" w14:paraId="2155FEF8" w14:textId="77777777" w:rsidTr="006F23D0">
        <w:trPr>
          <w:trHeight w:val="4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56332" w14:textId="6D35BD44" w:rsidR="00643E48" w:rsidRPr="00CF1957" w:rsidRDefault="00643E48" w:rsidP="00A855C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Equal Opportunities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E245F" w14:textId="24AEF57B" w:rsidR="00643E48" w:rsidRPr="00CF1957" w:rsidRDefault="00A74AA9" w:rsidP="00D81709">
            <w:pPr>
              <w:numPr>
                <w:ilvl w:val="0"/>
                <w:numId w:val="1"/>
              </w:numPr>
              <w:tabs>
                <w:tab w:val="num" w:pos="210"/>
                <w:tab w:val="num" w:pos="438"/>
              </w:tabs>
              <w:spacing w:line="276" w:lineRule="auto"/>
              <w:ind w:left="210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Dartmoor Multi Academy Trust is an equal opportunities employer</w:t>
            </w:r>
            <w:r w:rsidR="00AA5689">
              <w:rPr>
                <w:rFonts w:asciiTheme="minorHAnsi" w:hAnsiTheme="minorHAnsi" w:cstheme="minorHAnsi"/>
                <w:szCs w:val="24"/>
              </w:rPr>
              <w:t xml:space="preserve"> and is </w:t>
            </w:r>
            <w:r w:rsidR="00936A80">
              <w:rPr>
                <w:rFonts w:asciiTheme="minorHAnsi" w:hAnsiTheme="minorHAnsi" w:cstheme="minorHAnsi"/>
                <w:szCs w:val="24"/>
              </w:rPr>
              <w:t>committed to ensuring all employees are supported to meet their full potential.</w:t>
            </w:r>
          </w:p>
        </w:tc>
      </w:tr>
    </w:tbl>
    <w:p w14:paraId="2F4E6AFC" w14:textId="77777777" w:rsidR="00F3190A" w:rsidRPr="00CF1957" w:rsidRDefault="00F3190A" w:rsidP="00A855C5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C788438" w14:textId="570FB797" w:rsidR="00643E48" w:rsidRDefault="00643E48" w:rsidP="00A855C5">
      <w:pPr>
        <w:spacing w:line="276" w:lineRule="auto"/>
        <w:rPr>
          <w:rFonts w:asciiTheme="minorHAnsi" w:hAnsiTheme="minorHAnsi" w:cstheme="minorHAnsi"/>
          <w:szCs w:val="24"/>
        </w:rPr>
      </w:pPr>
    </w:p>
    <w:p w14:paraId="110310F9" w14:textId="3DAED043" w:rsidR="00024224" w:rsidRDefault="00024224" w:rsidP="00A855C5">
      <w:pPr>
        <w:spacing w:line="276" w:lineRule="auto"/>
        <w:rPr>
          <w:rFonts w:asciiTheme="minorHAnsi" w:hAnsiTheme="minorHAnsi" w:cstheme="minorHAnsi"/>
          <w:szCs w:val="24"/>
        </w:rPr>
      </w:pPr>
    </w:p>
    <w:p w14:paraId="056721E3" w14:textId="77777777" w:rsidR="00024224" w:rsidRPr="00CF1957" w:rsidRDefault="00024224" w:rsidP="00024224">
      <w:pPr>
        <w:spacing w:line="276" w:lineRule="auto"/>
        <w:ind w:left="-709"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 xml:space="preserve">All schools in Dartmoor Multi Academy Trust are committed to safeguarding and promoting the welfare of children and young </w:t>
      </w:r>
      <w:proofErr w:type="gramStart"/>
      <w:r w:rsidRPr="00CF1957">
        <w:rPr>
          <w:rFonts w:asciiTheme="minorHAnsi" w:hAnsiTheme="minorHAnsi" w:cstheme="minorHAnsi"/>
          <w:b/>
          <w:szCs w:val="24"/>
        </w:rPr>
        <w:t>people, and</w:t>
      </w:r>
      <w:proofErr w:type="gramEnd"/>
      <w:r w:rsidRPr="00CF1957">
        <w:rPr>
          <w:rFonts w:asciiTheme="minorHAnsi" w:hAnsiTheme="minorHAnsi" w:cstheme="minorHAnsi"/>
          <w:b/>
          <w:szCs w:val="24"/>
        </w:rPr>
        <w:t xml:space="preserve"> expect all staff and volunteers to share this commitment.</w:t>
      </w:r>
    </w:p>
    <w:p w14:paraId="608BBD55" w14:textId="77777777" w:rsidR="00024224" w:rsidRPr="00CF1957" w:rsidRDefault="00024224" w:rsidP="00024224">
      <w:pPr>
        <w:spacing w:line="276" w:lineRule="auto"/>
        <w:ind w:left="-709" w:right="-46"/>
        <w:jc w:val="both"/>
        <w:rPr>
          <w:rFonts w:asciiTheme="minorHAnsi" w:hAnsiTheme="minorHAnsi" w:cstheme="minorHAnsi"/>
          <w:b/>
          <w:szCs w:val="24"/>
        </w:rPr>
      </w:pPr>
    </w:p>
    <w:p w14:paraId="76786FD4" w14:textId="3BB8DEDA" w:rsidR="00024224" w:rsidRPr="00024224" w:rsidRDefault="00024224" w:rsidP="00024224">
      <w:pPr>
        <w:spacing w:line="276" w:lineRule="auto"/>
        <w:ind w:left="-709"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>The successful candidate will be required to undertake an Enhanced Disclosure via the Disclosure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CF1957">
        <w:rPr>
          <w:rFonts w:asciiTheme="minorHAnsi" w:hAnsiTheme="minorHAnsi" w:cstheme="minorHAnsi"/>
          <w:b/>
          <w:szCs w:val="24"/>
        </w:rPr>
        <w:t>Barring Service (DBS).</w:t>
      </w:r>
    </w:p>
    <w:sectPr w:rsidR="00024224" w:rsidRPr="00024224" w:rsidSect="00640EF6">
      <w:headerReference w:type="default" r:id="rId11"/>
      <w:footerReference w:type="defaul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527A" w14:textId="77777777" w:rsidR="00230763" w:rsidRDefault="00230763" w:rsidP="008506EE">
      <w:r>
        <w:separator/>
      </w:r>
    </w:p>
  </w:endnote>
  <w:endnote w:type="continuationSeparator" w:id="0">
    <w:p w14:paraId="258FC743" w14:textId="77777777" w:rsidR="00230763" w:rsidRDefault="00230763" w:rsidP="008506EE">
      <w:r>
        <w:continuationSeparator/>
      </w:r>
    </w:p>
  </w:endnote>
  <w:endnote w:type="continuationNotice" w:id="1">
    <w:p w14:paraId="704DBFF5" w14:textId="77777777" w:rsidR="00230763" w:rsidRDefault="00230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3727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color w:val="7F7F7F" w:themeColor="background1" w:themeShade="7F"/>
        <w:spacing w:val="60"/>
        <w:sz w:val="20"/>
      </w:rPr>
    </w:sdtEndPr>
    <w:sdtContent>
      <w:p w14:paraId="755CB6D1" w14:textId="37CEC7D3" w:rsidR="009A5865" w:rsidRPr="007448E4" w:rsidRDefault="009A5865" w:rsidP="00F04AE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</w:rPr>
        </w:pPr>
        <w:r w:rsidRPr="007448E4">
          <w:rPr>
            <w:rFonts w:asciiTheme="minorHAnsi" w:hAnsiTheme="minorHAnsi" w:cstheme="minorHAnsi"/>
            <w:sz w:val="20"/>
          </w:rPr>
          <w:fldChar w:fldCharType="begin"/>
        </w:r>
        <w:r w:rsidRPr="007448E4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7448E4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1</w:t>
        </w:r>
        <w:r w:rsidRPr="007448E4">
          <w:rPr>
            <w:rFonts w:asciiTheme="minorHAnsi" w:hAnsiTheme="minorHAnsi" w:cstheme="minorHAnsi"/>
            <w:noProof/>
            <w:sz w:val="20"/>
          </w:rPr>
          <w:fldChar w:fldCharType="end"/>
        </w:r>
        <w:r w:rsidRPr="007448E4">
          <w:rPr>
            <w:rFonts w:asciiTheme="minorHAnsi" w:hAnsiTheme="minorHAnsi" w:cstheme="minorHAnsi"/>
            <w:sz w:val="20"/>
          </w:rPr>
          <w:t xml:space="preserve"> | </w:t>
        </w:r>
        <w:r w:rsidRPr="007448E4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</w:rPr>
          <w:t>Page</w:t>
        </w:r>
      </w:p>
      <w:p w14:paraId="2EC4DA89" w14:textId="05872899" w:rsidR="009A5865" w:rsidRPr="00F04AEF" w:rsidRDefault="002B3435" w:rsidP="00F04AE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i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2D16" w14:textId="77777777" w:rsidR="00230763" w:rsidRDefault="00230763" w:rsidP="008506EE">
      <w:r>
        <w:separator/>
      </w:r>
    </w:p>
  </w:footnote>
  <w:footnote w:type="continuationSeparator" w:id="0">
    <w:p w14:paraId="399B598E" w14:textId="77777777" w:rsidR="00230763" w:rsidRDefault="00230763" w:rsidP="008506EE">
      <w:r>
        <w:continuationSeparator/>
      </w:r>
    </w:p>
  </w:footnote>
  <w:footnote w:type="continuationNotice" w:id="1">
    <w:p w14:paraId="583F9A7A" w14:textId="77777777" w:rsidR="00230763" w:rsidRDefault="00230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CC73" w14:textId="7DE4E86D" w:rsidR="009A5865" w:rsidRPr="00EF64C1" w:rsidRDefault="009A5865" w:rsidP="00EF64C1">
    <w:pPr>
      <w:pStyle w:val="Header"/>
      <w:jc w:val="right"/>
      <w:rPr>
        <w:rFonts w:cs="Arial"/>
      </w:rPr>
    </w:pPr>
    <w:r w:rsidRPr="00A44FE7">
      <w:rPr>
        <w:rFonts w:cs="Arial"/>
        <w:noProof/>
      </w:rPr>
      <w:drawing>
        <wp:inline distT="0" distB="0" distL="0" distR="0" wp14:anchorId="691DDEA6" wp14:editId="2A1EE5BC">
          <wp:extent cx="2032000" cy="381000"/>
          <wp:effectExtent l="0" t="0" r="6350" b="0"/>
          <wp:docPr id="1" name="Picture 1" descr="C:\Users\gtremain\AppData\Local\Microsoft\Windows\Temporary Internet Files\Content.Outlook\D7H0TEWX\DartmoorMAT-Logo-RGB-email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tremain\AppData\Local\Microsoft\Windows\Temporary Internet Files\Content.Outlook\D7H0TEWX\DartmoorMAT-Logo-RGB-email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333" cy="38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800"/>
    <w:multiLevelType w:val="hybridMultilevel"/>
    <w:tmpl w:val="24B81A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3726B"/>
    <w:multiLevelType w:val="hybridMultilevel"/>
    <w:tmpl w:val="3C2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C1D91"/>
    <w:multiLevelType w:val="hybridMultilevel"/>
    <w:tmpl w:val="E2D48D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A35FF"/>
    <w:multiLevelType w:val="hybridMultilevel"/>
    <w:tmpl w:val="6D98C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42048"/>
    <w:multiLevelType w:val="hybridMultilevel"/>
    <w:tmpl w:val="4A704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E48F9"/>
    <w:multiLevelType w:val="hybridMultilevel"/>
    <w:tmpl w:val="C99E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5363"/>
    <w:multiLevelType w:val="hybridMultilevel"/>
    <w:tmpl w:val="1A2EC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81934"/>
    <w:multiLevelType w:val="hybridMultilevel"/>
    <w:tmpl w:val="2B0E2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89"/>
    <w:rsid w:val="00005E5C"/>
    <w:rsid w:val="000065CC"/>
    <w:rsid w:val="00006A0D"/>
    <w:rsid w:val="0000756C"/>
    <w:rsid w:val="00011099"/>
    <w:rsid w:val="0001352A"/>
    <w:rsid w:val="00024224"/>
    <w:rsid w:val="00027C64"/>
    <w:rsid w:val="00042C72"/>
    <w:rsid w:val="00044F98"/>
    <w:rsid w:val="00053685"/>
    <w:rsid w:val="00056603"/>
    <w:rsid w:val="00072753"/>
    <w:rsid w:val="000755F7"/>
    <w:rsid w:val="000806B3"/>
    <w:rsid w:val="00084287"/>
    <w:rsid w:val="000912F2"/>
    <w:rsid w:val="000946F2"/>
    <w:rsid w:val="000A6156"/>
    <w:rsid w:val="000B23A7"/>
    <w:rsid w:val="000B39BC"/>
    <w:rsid w:val="000C2EE0"/>
    <w:rsid w:val="000C6C39"/>
    <w:rsid w:val="000C7A48"/>
    <w:rsid w:val="000D1E2A"/>
    <w:rsid w:val="001037B1"/>
    <w:rsid w:val="001054E5"/>
    <w:rsid w:val="0012552E"/>
    <w:rsid w:val="00134611"/>
    <w:rsid w:val="00143208"/>
    <w:rsid w:val="001445C1"/>
    <w:rsid w:val="00152E02"/>
    <w:rsid w:val="001545FC"/>
    <w:rsid w:val="0017103F"/>
    <w:rsid w:val="00171F7B"/>
    <w:rsid w:val="00176B92"/>
    <w:rsid w:val="00185389"/>
    <w:rsid w:val="00193955"/>
    <w:rsid w:val="0019769F"/>
    <w:rsid w:val="00197FDD"/>
    <w:rsid w:val="001A39BC"/>
    <w:rsid w:val="001A587F"/>
    <w:rsid w:val="001B0A78"/>
    <w:rsid w:val="001B5ED3"/>
    <w:rsid w:val="001B64B8"/>
    <w:rsid w:val="001C133F"/>
    <w:rsid w:val="001D607D"/>
    <w:rsid w:val="001E1D59"/>
    <w:rsid w:val="001E2FB8"/>
    <w:rsid w:val="001E40E3"/>
    <w:rsid w:val="001F40E8"/>
    <w:rsid w:val="001F4F53"/>
    <w:rsid w:val="0021038B"/>
    <w:rsid w:val="00210C47"/>
    <w:rsid w:val="00215D91"/>
    <w:rsid w:val="00221533"/>
    <w:rsid w:val="00221C70"/>
    <w:rsid w:val="00230763"/>
    <w:rsid w:val="0023324D"/>
    <w:rsid w:val="0023367C"/>
    <w:rsid w:val="00234CE4"/>
    <w:rsid w:val="00266DD8"/>
    <w:rsid w:val="002A5A57"/>
    <w:rsid w:val="002B0B4C"/>
    <w:rsid w:val="002B3435"/>
    <w:rsid w:val="002D18A7"/>
    <w:rsid w:val="002D4ADB"/>
    <w:rsid w:val="00315D12"/>
    <w:rsid w:val="003161EB"/>
    <w:rsid w:val="0031718B"/>
    <w:rsid w:val="003240E3"/>
    <w:rsid w:val="00337F30"/>
    <w:rsid w:val="0035788C"/>
    <w:rsid w:val="00361F19"/>
    <w:rsid w:val="00370F7E"/>
    <w:rsid w:val="00376127"/>
    <w:rsid w:val="0037721B"/>
    <w:rsid w:val="00387D5C"/>
    <w:rsid w:val="003941C4"/>
    <w:rsid w:val="003945B8"/>
    <w:rsid w:val="003A7552"/>
    <w:rsid w:val="003B5B21"/>
    <w:rsid w:val="003B794B"/>
    <w:rsid w:val="003C24E4"/>
    <w:rsid w:val="003C5FAE"/>
    <w:rsid w:val="003C7573"/>
    <w:rsid w:val="003D2524"/>
    <w:rsid w:val="003F104C"/>
    <w:rsid w:val="00400648"/>
    <w:rsid w:val="004035DC"/>
    <w:rsid w:val="00405829"/>
    <w:rsid w:val="00407916"/>
    <w:rsid w:val="00412FDF"/>
    <w:rsid w:val="004153A9"/>
    <w:rsid w:val="00415529"/>
    <w:rsid w:val="00422C5B"/>
    <w:rsid w:val="00431D8D"/>
    <w:rsid w:val="0043417B"/>
    <w:rsid w:val="00466526"/>
    <w:rsid w:val="00475894"/>
    <w:rsid w:val="004779FF"/>
    <w:rsid w:val="00477DD2"/>
    <w:rsid w:val="00482C15"/>
    <w:rsid w:val="0048359E"/>
    <w:rsid w:val="00486610"/>
    <w:rsid w:val="00487651"/>
    <w:rsid w:val="004916F0"/>
    <w:rsid w:val="004B6D86"/>
    <w:rsid w:val="004C5021"/>
    <w:rsid w:val="004D5016"/>
    <w:rsid w:val="004E5D7C"/>
    <w:rsid w:val="004E67D7"/>
    <w:rsid w:val="004F02A9"/>
    <w:rsid w:val="004F22F3"/>
    <w:rsid w:val="004F490A"/>
    <w:rsid w:val="004F5347"/>
    <w:rsid w:val="00503BFA"/>
    <w:rsid w:val="005051D5"/>
    <w:rsid w:val="00514128"/>
    <w:rsid w:val="0052789A"/>
    <w:rsid w:val="00531320"/>
    <w:rsid w:val="00570335"/>
    <w:rsid w:val="005745B8"/>
    <w:rsid w:val="005A2B27"/>
    <w:rsid w:val="005B64BA"/>
    <w:rsid w:val="005D200D"/>
    <w:rsid w:val="005F3669"/>
    <w:rsid w:val="005F401C"/>
    <w:rsid w:val="005F491F"/>
    <w:rsid w:val="00634D9D"/>
    <w:rsid w:val="00635769"/>
    <w:rsid w:val="00640E73"/>
    <w:rsid w:val="00640EF6"/>
    <w:rsid w:val="00643E48"/>
    <w:rsid w:val="00653FD9"/>
    <w:rsid w:val="00661368"/>
    <w:rsid w:val="0066263B"/>
    <w:rsid w:val="00664B1C"/>
    <w:rsid w:val="00677C29"/>
    <w:rsid w:val="006804FD"/>
    <w:rsid w:val="006D4006"/>
    <w:rsid w:val="006E1E7E"/>
    <w:rsid w:val="006E3EAE"/>
    <w:rsid w:val="006E5840"/>
    <w:rsid w:val="006F3A3D"/>
    <w:rsid w:val="00701369"/>
    <w:rsid w:val="00717237"/>
    <w:rsid w:val="00727E1C"/>
    <w:rsid w:val="007448E4"/>
    <w:rsid w:val="007451BC"/>
    <w:rsid w:val="007543FF"/>
    <w:rsid w:val="00754C02"/>
    <w:rsid w:val="0076149E"/>
    <w:rsid w:val="007706BA"/>
    <w:rsid w:val="00786FAB"/>
    <w:rsid w:val="00793283"/>
    <w:rsid w:val="007B614A"/>
    <w:rsid w:val="007B7B77"/>
    <w:rsid w:val="007C477D"/>
    <w:rsid w:val="007C683D"/>
    <w:rsid w:val="007D538B"/>
    <w:rsid w:val="007D7071"/>
    <w:rsid w:val="007E17BB"/>
    <w:rsid w:val="007E1E3F"/>
    <w:rsid w:val="007E3346"/>
    <w:rsid w:val="007E3AAF"/>
    <w:rsid w:val="0080173E"/>
    <w:rsid w:val="00805339"/>
    <w:rsid w:val="0082032F"/>
    <w:rsid w:val="00820F46"/>
    <w:rsid w:val="0082389A"/>
    <w:rsid w:val="008257AC"/>
    <w:rsid w:val="00826D1A"/>
    <w:rsid w:val="00833C40"/>
    <w:rsid w:val="0084549C"/>
    <w:rsid w:val="00846647"/>
    <w:rsid w:val="00846F8D"/>
    <w:rsid w:val="00847EB5"/>
    <w:rsid w:val="008506EE"/>
    <w:rsid w:val="00855D3D"/>
    <w:rsid w:val="00875850"/>
    <w:rsid w:val="00876115"/>
    <w:rsid w:val="00880B58"/>
    <w:rsid w:val="008839F6"/>
    <w:rsid w:val="00886857"/>
    <w:rsid w:val="00893A45"/>
    <w:rsid w:val="008A7B24"/>
    <w:rsid w:val="008B022F"/>
    <w:rsid w:val="008B1480"/>
    <w:rsid w:val="008B1542"/>
    <w:rsid w:val="008B3E76"/>
    <w:rsid w:val="008B6972"/>
    <w:rsid w:val="008B6993"/>
    <w:rsid w:val="008D74DE"/>
    <w:rsid w:val="008E39CF"/>
    <w:rsid w:val="008F2B62"/>
    <w:rsid w:val="009053A1"/>
    <w:rsid w:val="00924FFD"/>
    <w:rsid w:val="00931958"/>
    <w:rsid w:val="00936A80"/>
    <w:rsid w:val="00947E26"/>
    <w:rsid w:val="00951E63"/>
    <w:rsid w:val="00955D3F"/>
    <w:rsid w:val="009564AC"/>
    <w:rsid w:val="009729AA"/>
    <w:rsid w:val="00976081"/>
    <w:rsid w:val="00976F80"/>
    <w:rsid w:val="00995997"/>
    <w:rsid w:val="009A53EF"/>
    <w:rsid w:val="009A5865"/>
    <w:rsid w:val="009B37D1"/>
    <w:rsid w:val="009C654A"/>
    <w:rsid w:val="009D2296"/>
    <w:rsid w:val="009D31CA"/>
    <w:rsid w:val="009F319C"/>
    <w:rsid w:val="00A14D99"/>
    <w:rsid w:val="00A26CE1"/>
    <w:rsid w:val="00A41430"/>
    <w:rsid w:val="00A44FE7"/>
    <w:rsid w:val="00A45771"/>
    <w:rsid w:val="00A46E83"/>
    <w:rsid w:val="00A5586F"/>
    <w:rsid w:val="00A720DB"/>
    <w:rsid w:val="00A74AA9"/>
    <w:rsid w:val="00A855C5"/>
    <w:rsid w:val="00A925F7"/>
    <w:rsid w:val="00AA5689"/>
    <w:rsid w:val="00AA5FB8"/>
    <w:rsid w:val="00AB018F"/>
    <w:rsid w:val="00AB4988"/>
    <w:rsid w:val="00AB5843"/>
    <w:rsid w:val="00AB6794"/>
    <w:rsid w:val="00AD5B80"/>
    <w:rsid w:val="00AE62D8"/>
    <w:rsid w:val="00AF303A"/>
    <w:rsid w:val="00AF6A3C"/>
    <w:rsid w:val="00AF7109"/>
    <w:rsid w:val="00B05088"/>
    <w:rsid w:val="00B1176B"/>
    <w:rsid w:val="00B2340A"/>
    <w:rsid w:val="00B3002E"/>
    <w:rsid w:val="00B329CD"/>
    <w:rsid w:val="00B34D6B"/>
    <w:rsid w:val="00B55F87"/>
    <w:rsid w:val="00B5646A"/>
    <w:rsid w:val="00B65363"/>
    <w:rsid w:val="00B70AEA"/>
    <w:rsid w:val="00B71FB2"/>
    <w:rsid w:val="00B72835"/>
    <w:rsid w:val="00B7305F"/>
    <w:rsid w:val="00B8785A"/>
    <w:rsid w:val="00BA018A"/>
    <w:rsid w:val="00BA59A8"/>
    <w:rsid w:val="00BB7D38"/>
    <w:rsid w:val="00BE4AED"/>
    <w:rsid w:val="00C24A98"/>
    <w:rsid w:val="00C354E0"/>
    <w:rsid w:val="00C36840"/>
    <w:rsid w:val="00C37B03"/>
    <w:rsid w:val="00C549EA"/>
    <w:rsid w:val="00C6407D"/>
    <w:rsid w:val="00C67504"/>
    <w:rsid w:val="00C7574D"/>
    <w:rsid w:val="00C83710"/>
    <w:rsid w:val="00C87D35"/>
    <w:rsid w:val="00C87DD5"/>
    <w:rsid w:val="00C91371"/>
    <w:rsid w:val="00C94D04"/>
    <w:rsid w:val="00C9620C"/>
    <w:rsid w:val="00CA21DE"/>
    <w:rsid w:val="00CA273A"/>
    <w:rsid w:val="00CA474D"/>
    <w:rsid w:val="00CA6739"/>
    <w:rsid w:val="00CB0F04"/>
    <w:rsid w:val="00CC18CB"/>
    <w:rsid w:val="00CE16F9"/>
    <w:rsid w:val="00CE6779"/>
    <w:rsid w:val="00CF1957"/>
    <w:rsid w:val="00CF4D2E"/>
    <w:rsid w:val="00D03A8E"/>
    <w:rsid w:val="00D05726"/>
    <w:rsid w:val="00D1172C"/>
    <w:rsid w:val="00D17E34"/>
    <w:rsid w:val="00D354DC"/>
    <w:rsid w:val="00D42BC8"/>
    <w:rsid w:val="00D43AB7"/>
    <w:rsid w:val="00D46321"/>
    <w:rsid w:val="00D528E1"/>
    <w:rsid w:val="00D62F3F"/>
    <w:rsid w:val="00D64DA4"/>
    <w:rsid w:val="00D6655D"/>
    <w:rsid w:val="00D773D5"/>
    <w:rsid w:val="00D81709"/>
    <w:rsid w:val="00D942FB"/>
    <w:rsid w:val="00DA0450"/>
    <w:rsid w:val="00DB4EBF"/>
    <w:rsid w:val="00DB7357"/>
    <w:rsid w:val="00DC2A1E"/>
    <w:rsid w:val="00DC3E76"/>
    <w:rsid w:val="00DC45F4"/>
    <w:rsid w:val="00DE1517"/>
    <w:rsid w:val="00DE1AA6"/>
    <w:rsid w:val="00DE57A8"/>
    <w:rsid w:val="00DF1419"/>
    <w:rsid w:val="00DF714E"/>
    <w:rsid w:val="00DF7A77"/>
    <w:rsid w:val="00E03C44"/>
    <w:rsid w:val="00E17186"/>
    <w:rsid w:val="00E2581D"/>
    <w:rsid w:val="00E26039"/>
    <w:rsid w:val="00E30FB2"/>
    <w:rsid w:val="00E33A0D"/>
    <w:rsid w:val="00E45D18"/>
    <w:rsid w:val="00E56A56"/>
    <w:rsid w:val="00E60BE5"/>
    <w:rsid w:val="00E60C7F"/>
    <w:rsid w:val="00E650EF"/>
    <w:rsid w:val="00E65C5B"/>
    <w:rsid w:val="00E67331"/>
    <w:rsid w:val="00E679EA"/>
    <w:rsid w:val="00E91465"/>
    <w:rsid w:val="00E97B4D"/>
    <w:rsid w:val="00EB2E6E"/>
    <w:rsid w:val="00EB4AF4"/>
    <w:rsid w:val="00EB4EF2"/>
    <w:rsid w:val="00ED1823"/>
    <w:rsid w:val="00ED2AFB"/>
    <w:rsid w:val="00EF56BD"/>
    <w:rsid w:val="00EF5AFD"/>
    <w:rsid w:val="00EF64C1"/>
    <w:rsid w:val="00F04AEF"/>
    <w:rsid w:val="00F05E06"/>
    <w:rsid w:val="00F14D55"/>
    <w:rsid w:val="00F16C94"/>
    <w:rsid w:val="00F26D07"/>
    <w:rsid w:val="00F3190A"/>
    <w:rsid w:val="00F5180D"/>
    <w:rsid w:val="00F620E7"/>
    <w:rsid w:val="00F6792B"/>
    <w:rsid w:val="00F80108"/>
    <w:rsid w:val="00F80998"/>
    <w:rsid w:val="00F924B1"/>
    <w:rsid w:val="00FA094B"/>
    <w:rsid w:val="00FA7C8F"/>
    <w:rsid w:val="00FB333A"/>
    <w:rsid w:val="00FC1FF8"/>
    <w:rsid w:val="00FC7565"/>
    <w:rsid w:val="00FE36FF"/>
    <w:rsid w:val="00FF0FBF"/>
    <w:rsid w:val="0217F7E5"/>
    <w:rsid w:val="0421DE9C"/>
    <w:rsid w:val="04F6D1C2"/>
    <w:rsid w:val="05B88B52"/>
    <w:rsid w:val="05B9F7F0"/>
    <w:rsid w:val="05D16C58"/>
    <w:rsid w:val="076D3CB9"/>
    <w:rsid w:val="082E7284"/>
    <w:rsid w:val="0963779D"/>
    <w:rsid w:val="09CA42E5"/>
    <w:rsid w:val="0BA3B432"/>
    <w:rsid w:val="0C127CDC"/>
    <w:rsid w:val="0DDC7E3D"/>
    <w:rsid w:val="0ED6EB93"/>
    <w:rsid w:val="1015F442"/>
    <w:rsid w:val="10398469"/>
    <w:rsid w:val="12AFEF60"/>
    <w:rsid w:val="12D10227"/>
    <w:rsid w:val="1333246F"/>
    <w:rsid w:val="146B2C3D"/>
    <w:rsid w:val="1536793B"/>
    <w:rsid w:val="178B4E09"/>
    <w:rsid w:val="191F30E4"/>
    <w:rsid w:val="1B11D4C1"/>
    <w:rsid w:val="1C1308A7"/>
    <w:rsid w:val="1C56D1A6"/>
    <w:rsid w:val="1F965FEE"/>
    <w:rsid w:val="1FA79AC5"/>
    <w:rsid w:val="23CB10F4"/>
    <w:rsid w:val="2461E38B"/>
    <w:rsid w:val="280FD974"/>
    <w:rsid w:val="288233F9"/>
    <w:rsid w:val="299B0BFC"/>
    <w:rsid w:val="2CC73AA1"/>
    <w:rsid w:val="2E08C5D1"/>
    <w:rsid w:val="2EE36067"/>
    <w:rsid w:val="3222EEAF"/>
    <w:rsid w:val="328DB7D7"/>
    <w:rsid w:val="33B6D18A"/>
    <w:rsid w:val="36CFF8B2"/>
    <w:rsid w:val="389A3C3F"/>
    <w:rsid w:val="38BCCFD5"/>
    <w:rsid w:val="3B32FE5E"/>
    <w:rsid w:val="3BBF6228"/>
    <w:rsid w:val="3D65A156"/>
    <w:rsid w:val="4038FCA9"/>
    <w:rsid w:val="421FEA1C"/>
    <w:rsid w:val="471DBE73"/>
    <w:rsid w:val="47996C82"/>
    <w:rsid w:val="47CDB967"/>
    <w:rsid w:val="496989C8"/>
    <w:rsid w:val="4A3C36D8"/>
    <w:rsid w:val="4CA12A8A"/>
    <w:rsid w:val="4D74C808"/>
    <w:rsid w:val="4D7BD0C4"/>
    <w:rsid w:val="50A0F6AD"/>
    <w:rsid w:val="50F41624"/>
    <w:rsid w:val="512528CF"/>
    <w:rsid w:val="51749BAD"/>
    <w:rsid w:val="5329D0D9"/>
    <w:rsid w:val="5395ECD8"/>
    <w:rsid w:val="53EB06A4"/>
    <w:rsid w:val="5586D705"/>
    <w:rsid w:val="59B6B9F2"/>
    <w:rsid w:val="5D91E8EA"/>
    <w:rsid w:val="5E6C8380"/>
    <w:rsid w:val="5EB434E0"/>
    <w:rsid w:val="60F99112"/>
    <w:rsid w:val="616A6A7D"/>
    <w:rsid w:val="62C286D7"/>
    <w:rsid w:val="6526D715"/>
    <w:rsid w:val="6683E6BA"/>
    <w:rsid w:val="69A8E501"/>
    <w:rsid w:val="6A800620"/>
    <w:rsid w:val="6DCE7E0E"/>
    <w:rsid w:val="70F91241"/>
    <w:rsid w:val="73FE25DB"/>
    <w:rsid w:val="7430B303"/>
    <w:rsid w:val="77AE11BC"/>
    <w:rsid w:val="79F5570D"/>
    <w:rsid w:val="7A7554E5"/>
    <w:rsid w:val="7BB16180"/>
    <w:rsid w:val="7CAB8CAA"/>
    <w:rsid w:val="7EA3D7AD"/>
    <w:rsid w:val="7FD79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FBDF"/>
  <w15:docId w15:val="{51BF3724-3B36-412F-91BE-9CB85CA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5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729AA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9729AA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3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9729AA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9729AA"/>
    <w:pPr>
      <w:keepNext/>
      <w:outlineLvl w:val="4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89"/>
    <w:pPr>
      <w:ind w:left="720"/>
      <w:contextualSpacing/>
    </w:pPr>
  </w:style>
  <w:style w:type="table" w:styleId="TableGrid">
    <w:name w:val="Table Grid"/>
    <w:basedOn w:val="TableNormal"/>
    <w:uiPriority w:val="39"/>
    <w:rsid w:val="0080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EE"/>
  </w:style>
  <w:style w:type="paragraph" w:styleId="Footer">
    <w:name w:val="footer"/>
    <w:basedOn w:val="Normal"/>
    <w:link w:val="FooterChar"/>
    <w:uiPriority w:val="99"/>
    <w:unhideWhenUsed/>
    <w:rsid w:val="00850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EE"/>
  </w:style>
  <w:style w:type="paragraph" w:customStyle="1" w:styleId="Default">
    <w:name w:val="Default"/>
    <w:rsid w:val="00EF64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3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04AEF"/>
    <w:pPr>
      <w:jc w:val="both"/>
    </w:pPr>
    <w:rPr>
      <w:rFonts w:ascii="Gill Sans MT" w:hAnsi="Gill Sans MT"/>
      <w:spacing w:val="-2"/>
    </w:rPr>
  </w:style>
  <w:style w:type="character" w:customStyle="1" w:styleId="BodyTextChar">
    <w:name w:val="Body Text Char"/>
    <w:basedOn w:val="DefaultParagraphFont"/>
    <w:link w:val="BodyText"/>
    <w:rsid w:val="00F04AEF"/>
    <w:rPr>
      <w:rFonts w:ascii="Gill Sans MT" w:eastAsia="Times New Roman" w:hAnsi="Gill Sans MT" w:cs="Times New Roman"/>
      <w:spacing w:val="-2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9729A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729A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9729AA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729AA"/>
    <w:rPr>
      <w:rFonts w:ascii="Arial" w:eastAsia="Times New Roman" w:hAnsi="Arial" w:cs="Times New Roman"/>
      <w:sz w:val="20"/>
      <w:szCs w:val="20"/>
      <w:u w:val="single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9729AA"/>
    <w:rPr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29A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9729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A58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NoSpacing">
    <w:name w:val="No Spacing"/>
    <w:uiPriority w:val="1"/>
    <w:qFormat/>
    <w:rsid w:val="00E60BE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32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9CD"/>
    <w:rPr>
      <w:color w:val="605E5C"/>
      <w:shd w:val="clear" w:color="auto" w:fill="E1DFDD"/>
    </w:rPr>
  </w:style>
  <w:style w:type="character" w:customStyle="1" w:styleId="jobsearch-jobdescription-phone-number">
    <w:name w:val="jobsearch-jobdescription-phone-number"/>
    <w:basedOn w:val="DefaultParagraphFont"/>
    <w:rsid w:val="0095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11BE2045DF640B37A994C923813D2" ma:contentTypeVersion="0" ma:contentTypeDescription="Create a new document." ma:contentTypeScope="" ma:versionID="f1448e6492efaa5e0c7151523051d4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59BA1-9556-42D4-B3F8-F0FB01B07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97ECA-D39E-4C2B-AC74-17993790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17E5B-EDDB-4DA2-AAFA-2A0E6040E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070E4-3CB1-42F5-AD8D-E8C749AC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Okehampton College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Chapman</dc:creator>
  <cp:lastModifiedBy>Jack Evans</cp:lastModifiedBy>
  <cp:revision>19</cp:revision>
  <cp:lastPrinted>2018-01-30T09:14:00Z</cp:lastPrinted>
  <dcterms:created xsi:type="dcterms:W3CDTF">2021-11-23T09:07:00Z</dcterms:created>
  <dcterms:modified xsi:type="dcterms:W3CDTF">2022-03-24T15:34:00Z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0x0101004A311BE2045DF640B37A994C923813D2</vt:lpwstr>
  </property>
</Properties>
</file>