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45" w:rsidRDefault="00AB6945">
      <w:pPr>
        <w:widowControl w:val="0"/>
        <w:pBdr>
          <w:top w:val="nil"/>
          <w:left w:val="nil"/>
          <w:bottom w:val="nil"/>
          <w:right w:val="nil"/>
          <w:between w:val="nil"/>
        </w:pBdr>
        <w:spacing w:line="276" w:lineRule="auto"/>
        <w:rPr>
          <w:rFonts w:eastAsia="Arial"/>
          <w:color w:val="000000"/>
        </w:rPr>
      </w:pPr>
      <w:bookmarkStart w:id="0" w:name="_GoBack"/>
      <w:bookmarkEnd w:id="0"/>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tc>
          <w:tcPr>
            <w:tcW w:w="8966" w:type="dxa"/>
            <w:gridSpan w:val="2"/>
            <w:tcBorders>
              <w:top w:val="nil"/>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sz w:val="36"/>
                <w:szCs w:val="36"/>
              </w:rPr>
            </w:pPr>
            <w:r>
              <w:rPr>
                <w:rFonts w:ascii="Calibri" w:eastAsia="Calibri" w:hAnsi="Calibri" w:cs="Calibri"/>
                <w:b/>
                <w:color w:val="FFFFFF"/>
                <w:sz w:val="36"/>
                <w:szCs w:val="36"/>
              </w:rPr>
              <w:t>Sports Coach</w:t>
            </w:r>
          </w:p>
          <w:p w:rsidR="00AB6945" w:rsidRDefault="006C2CEA">
            <w:pPr>
              <w:jc w:val="center"/>
              <w:rPr>
                <w:rFonts w:ascii="Calibri" w:eastAsia="Calibri" w:hAnsi="Calibri" w:cs="Calibri"/>
                <w:b/>
                <w:color w:val="FFFFFF"/>
                <w:sz w:val="28"/>
                <w:szCs w:val="28"/>
              </w:rPr>
            </w:pPr>
            <w:r>
              <w:rPr>
                <w:rFonts w:ascii="Calibri" w:eastAsia="Calibri" w:hAnsi="Calibri" w:cs="Calibri"/>
                <w:b/>
                <w:color w:val="FFFFFF"/>
                <w:sz w:val="28"/>
                <w:szCs w:val="28"/>
              </w:rPr>
              <w:t>Montem Academy</w:t>
            </w:r>
          </w:p>
        </w:tc>
      </w:tr>
      <w:tr w:rsidR="00AB6945">
        <w:tc>
          <w:tcPr>
            <w:tcW w:w="8966" w:type="dxa"/>
            <w:gridSpan w:val="2"/>
            <w:tcBorders>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1701" w:type="dxa"/>
            <w:shd w:val="clear" w:color="auto" w:fill="E2EFD9"/>
          </w:tcPr>
          <w:p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AB6945" w:rsidRDefault="005157A2">
            <w:pPr>
              <w:jc w:val="both"/>
              <w:rPr>
                <w:rFonts w:ascii="Calibri" w:eastAsia="Calibri" w:hAnsi="Calibri" w:cs="Calibri"/>
              </w:rPr>
            </w:pPr>
            <w:r>
              <w:rPr>
                <w:rFonts w:ascii="Calibri" w:eastAsia="Calibri" w:hAnsi="Calibri" w:cs="Calibri"/>
              </w:rPr>
              <w:t xml:space="preserve">Director of Curriculum </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Job Purpose</w:t>
            </w:r>
          </w:p>
        </w:tc>
      </w:tr>
      <w:tr w:rsidR="00AB6945">
        <w:tc>
          <w:tcPr>
            <w:tcW w:w="8966" w:type="dxa"/>
            <w:gridSpan w:val="2"/>
            <w:tcBorders>
              <w:bottom w:val="single" w:sz="12" w:space="0" w:color="385623"/>
            </w:tcBorders>
            <w:shd w:val="clear" w:color="auto" w:fill="auto"/>
          </w:tcPr>
          <w:p w:rsidR="00AB6945" w:rsidRDefault="005157A2" w:rsidP="00071C0F">
            <w:pPr>
              <w:spacing w:after="200" w:line="276" w:lineRule="auto"/>
              <w:jc w:val="both"/>
              <w:rPr>
                <w:rFonts w:ascii="Calibri" w:eastAsia="Calibri" w:hAnsi="Calibri" w:cs="Calibri"/>
              </w:rPr>
            </w:pPr>
            <w:r>
              <w:rPr>
                <w:rFonts w:ascii="Calibri" w:eastAsia="Calibri" w:hAnsi="Calibri" w:cs="Calibri"/>
              </w:rPr>
              <w:t xml:space="preserve">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lifestyle for pupils and staff at </w:t>
            </w:r>
            <w:r w:rsidR="00071C0F">
              <w:rPr>
                <w:rFonts w:ascii="Calibri" w:eastAsia="Calibri" w:hAnsi="Calibri" w:cs="Calibri"/>
              </w:rPr>
              <w:t>Montem Academy</w:t>
            </w:r>
            <w:r>
              <w:rPr>
                <w:rFonts w:ascii="Calibri" w:eastAsia="Calibri" w:hAnsi="Calibri" w:cs="Calibri"/>
              </w:rPr>
              <w:t>.</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Key Accountabilities</w:t>
            </w:r>
          </w:p>
        </w:tc>
      </w:tr>
      <w:tr w:rsidR="00AB6945">
        <w:tc>
          <w:tcPr>
            <w:tcW w:w="8966" w:type="dxa"/>
            <w:gridSpan w:val="2"/>
            <w:tcBorders>
              <w:bottom w:val="single" w:sz="12" w:space="0" w:color="385623"/>
            </w:tcBorders>
            <w:shd w:val="clear" w:color="auto" w:fill="auto"/>
          </w:tcPr>
          <w:p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following list is not intended to be exhaustive but indicates the range of duties and the level of responsibility involved.</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To maintain appropriate records and to provide relevant accurate and up-to-date information for the school assessment system.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Ensure a high quality learning environment within the PE area.</w:t>
            </w:r>
          </w:p>
          <w:p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lastRenderedPageBreak/>
              <w:t>To contribute to the organisation of special PE events e.g. sports day, sports week etc.</w:t>
            </w:r>
          </w:p>
          <w:p w:rsidR="00AB6945" w:rsidRDefault="005157A2">
            <w:pPr>
              <w:jc w:val="both"/>
              <w:rPr>
                <w:rFonts w:ascii="Calibri" w:eastAsia="Calibri" w:hAnsi="Calibri" w:cs="Calibri"/>
                <w:b/>
              </w:rPr>
            </w:pPr>
            <w:r>
              <w:rPr>
                <w:rFonts w:ascii="Calibri" w:eastAsia="Calibri" w:hAnsi="Calibri" w:cs="Calibri"/>
                <w:b/>
              </w:rPr>
              <w:t>ASSESSMENT, FEEDBACK AND TRACKING:</w:t>
            </w:r>
          </w:p>
          <w:p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rsidR="00AB6945" w:rsidRDefault="005157A2">
            <w:pPr>
              <w:jc w:val="both"/>
              <w:rPr>
                <w:rFonts w:ascii="Calibri" w:eastAsia="Calibri" w:hAnsi="Calibri" w:cs="Calibri"/>
                <w:b/>
              </w:rPr>
            </w:pPr>
            <w:r>
              <w:rPr>
                <w:rFonts w:ascii="Calibri" w:eastAsia="Calibri" w:hAnsi="Calibri" w:cs="Calibri"/>
                <w:b/>
              </w:rPr>
              <w:t>SAFEGUARDING:</w:t>
            </w:r>
          </w:p>
          <w:p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for safeguarding children and to help in the application of the Safeguarding and Safe Practices policy within the school. </w:t>
            </w:r>
          </w:p>
          <w:p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rsidR="00AB6945" w:rsidRDefault="005157A2">
            <w:pPr>
              <w:jc w:val="both"/>
              <w:rPr>
                <w:rFonts w:ascii="Calibri" w:eastAsia="Calibri" w:hAnsi="Calibri" w:cs="Calibri"/>
                <w:b/>
              </w:rPr>
            </w:pPr>
            <w:r>
              <w:rPr>
                <w:rFonts w:ascii="Calibri" w:eastAsia="Calibri" w:hAnsi="Calibri" w:cs="Calibri"/>
                <w:b/>
              </w:rPr>
              <w:t>LIAISON:</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rsidR="00AB6945" w:rsidRDefault="005157A2">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Contribute regular features for the school’s website and newsletter. </w:t>
            </w:r>
          </w:p>
          <w:p w:rsidR="00AB6945" w:rsidRDefault="005157A2">
            <w:pPr>
              <w:rPr>
                <w:rFonts w:ascii="Calibri" w:eastAsia="Calibri" w:hAnsi="Calibri" w:cs="Calibri"/>
                <w:b/>
                <w:u w:val="single"/>
              </w:rPr>
            </w:pPr>
            <w:r>
              <w:rPr>
                <w:rFonts w:ascii="Calibri" w:eastAsia="Calibri" w:hAnsi="Calibri" w:cs="Calibri"/>
                <w:b/>
                <w:u w:val="single"/>
              </w:rPr>
              <w:t>General</w:t>
            </w:r>
          </w:p>
          <w:p w:rsidR="00AB6945" w:rsidRDefault="00AB6945">
            <w:pPr>
              <w:rPr>
                <w:rFonts w:ascii="Calibri" w:eastAsia="Calibri" w:hAnsi="Calibri" w:cs="Calibri"/>
                <w:b/>
                <w:u w:val="single"/>
              </w:rPr>
            </w:pPr>
          </w:p>
          <w:p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AB6945" w:rsidRDefault="00AB6945">
            <w:pPr>
              <w:rPr>
                <w:rFonts w:ascii="Calibri" w:eastAsia="Calibri" w:hAnsi="Calibri" w:cs="Calibri"/>
              </w:rPr>
            </w:pPr>
          </w:p>
          <w:p w:rsidR="00AB6945" w:rsidRDefault="005157A2">
            <w:pPr>
              <w:jc w:val="both"/>
              <w:rPr>
                <w:rFonts w:ascii="Calibri" w:eastAsia="Calibri" w:hAnsi="Calibri" w:cs="Calibri"/>
              </w:rPr>
            </w:pPr>
            <w:r>
              <w:rPr>
                <w:rFonts w:ascii="Calibri" w:eastAsia="Calibri" w:hAnsi="Calibri" w:cs="Calibri"/>
              </w:rPr>
              <w:t>This job description may be reviewed at the end of the academic year or earlier if necessary.  In addition it may be amended at any time after consultation.</w:t>
            </w:r>
          </w:p>
        </w:tc>
      </w:tr>
      <w:tr w:rsidR="00AB6945">
        <w:tc>
          <w:tcPr>
            <w:tcW w:w="8966" w:type="dxa"/>
            <w:gridSpan w:val="2"/>
            <w:tcBorders>
              <w:left w:val="nil"/>
              <w:bottom w:val="nil"/>
              <w:right w:val="nil"/>
            </w:tcBorders>
            <w:shd w:val="clear" w:color="auto" w:fill="auto"/>
          </w:tcPr>
          <w:p w:rsidR="00AB6945" w:rsidRDefault="00AB6945">
            <w:pPr>
              <w:pBdr>
                <w:top w:val="nil"/>
                <w:left w:val="nil"/>
                <w:bottom w:val="nil"/>
                <w:right w:val="nil"/>
                <w:between w:val="nil"/>
              </w:pBdr>
              <w:jc w:val="both"/>
              <w:rPr>
                <w:rFonts w:ascii="Calibri" w:eastAsia="Calibri" w:hAnsi="Calibri" w:cs="Calibri"/>
                <w:color w:val="000000"/>
              </w:rPr>
            </w:pPr>
          </w:p>
        </w:tc>
      </w:tr>
    </w:tbl>
    <w:p w:rsidR="00AB6945" w:rsidRDefault="005157A2">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tc>
          <w:tcPr>
            <w:tcW w:w="9016" w:type="dxa"/>
            <w:shd w:val="clear" w:color="auto" w:fill="E2EFD9"/>
          </w:tcPr>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employment you may see, hear or have access to, information on matters of a confidential nature relating to the work of The Park Federation Academy Trust or to the health and personal affairs of pupils and staff.  Under no circumstances should such information be divulged or passed on to any unauthorised person or organisation. </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Data Protection</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During the course of your employment you will have access to data and personal information that must be processed in accordance with the terms and conditions of the Data Protection Act 2018.</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Safeguarding</w:t>
            </w:r>
          </w:p>
        </w:tc>
      </w:tr>
      <w:tr w:rsidR="00AB6945">
        <w:tc>
          <w:tcPr>
            <w:tcW w:w="9016" w:type="dxa"/>
            <w:shd w:val="clear" w:color="auto" w:fill="auto"/>
          </w:tcPr>
          <w:p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B6945" w:rsidRDefault="00AB6945">
      <w:pPr>
        <w:jc w:val="both"/>
        <w:rPr>
          <w:rFonts w:ascii="Calibri" w:eastAsia="Calibri" w:hAnsi="Calibri" w:cs="Calibri"/>
        </w:rPr>
      </w:pPr>
    </w:p>
    <w:p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tc>
          <w:tcPr>
            <w:tcW w:w="9016" w:type="dxa"/>
            <w:gridSpan w:val="3"/>
            <w:tcBorders>
              <w:top w:val="nil"/>
              <w:left w:val="nil"/>
              <w:right w:val="nil"/>
            </w:tcBorders>
            <w:shd w:val="clear" w:color="auto" w:fill="auto"/>
          </w:tcPr>
          <w:p w:rsidR="00AB6945" w:rsidRDefault="00AB6945">
            <w:pPr>
              <w:jc w:val="center"/>
              <w:rPr>
                <w:rFonts w:ascii="Calibri" w:eastAsia="Calibri" w:hAnsi="Calibri" w:cs="Calibri"/>
                <w:b/>
                <w:sz w:val="24"/>
                <w:szCs w:val="24"/>
              </w:rPr>
            </w:pPr>
          </w:p>
        </w:tc>
      </w:tr>
      <w:tr w:rsidR="00AB6945">
        <w:tc>
          <w:tcPr>
            <w:tcW w:w="9016" w:type="dxa"/>
            <w:gridSpan w:val="3"/>
            <w:tcBorders>
              <w:bottom w:val="single" w:sz="12" w:space="0" w:color="385623"/>
            </w:tcBorders>
            <w:shd w:val="clear" w:color="auto" w:fill="385623"/>
          </w:tcPr>
          <w:p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tc>
          <w:tcPr>
            <w:tcW w:w="9016" w:type="dxa"/>
            <w:gridSpan w:val="3"/>
            <w:tcBorders>
              <w:left w:val="nil"/>
              <w:right w:val="nil"/>
            </w:tcBorders>
            <w:shd w:val="clear" w:color="auto" w:fill="auto"/>
          </w:tcPr>
          <w:p w:rsidR="00AB6945" w:rsidRDefault="00AB6945">
            <w:pPr>
              <w:jc w:val="center"/>
              <w:rPr>
                <w:rFonts w:ascii="Calibri" w:eastAsia="Calibri" w:hAnsi="Calibri" w:cs="Calibri"/>
                <w:b/>
              </w:rPr>
            </w:pPr>
          </w:p>
        </w:tc>
      </w:tr>
      <w:tr w:rsidR="00AB6945">
        <w:tc>
          <w:tcPr>
            <w:tcW w:w="1696" w:type="dxa"/>
            <w:shd w:val="clear" w:color="auto" w:fill="E2EFD9"/>
          </w:tcPr>
          <w:p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AB6945" w:rsidRDefault="005157A2">
            <w:pPr>
              <w:jc w:val="center"/>
              <w:rPr>
                <w:rFonts w:ascii="Calibri" w:eastAsia="Calibri" w:hAnsi="Calibri" w:cs="Calibri"/>
                <w:b/>
              </w:rPr>
            </w:pPr>
            <w:r>
              <w:rPr>
                <w:rFonts w:ascii="Calibri" w:eastAsia="Calibri" w:hAnsi="Calibri" w:cs="Calibri"/>
                <w:b/>
              </w:rPr>
              <w:t>Desirable</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8B" w:rsidRDefault="005157A2">
      <w:r>
        <w:separator/>
      </w:r>
    </w:p>
  </w:endnote>
  <w:endnote w:type="continuationSeparator" w:id="0">
    <w:p w:rsidR="00FE328B" w:rsidRDefault="0051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5501F3">
      <w:rPr>
        <w:rFonts w:eastAsia="Arial"/>
        <w:noProof/>
        <w:color w:val="385623"/>
        <w:sz w:val="18"/>
        <w:szCs w:val="18"/>
      </w:rPr>
      <w:t>2</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5501F3">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8B" w:rsidRDefault="005157A2">
      <w:r>
        <w:separator/>
      </w:r>
    </w:p>
  </w:footnote>
  <w:footnote w:type="continuationSeparator" w:id="0">
    <w:p w:rsidR="00FE328B" w:rsidRDefault="0051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71C0F"/>
    <w:rsid w:val="005157A2"/>
    <w:rsid w:val="005501F3"/>
    <w:rsid w:val="006C2CEA"/>
    <w:rsid w:val="00AB6945"/>
    <w:rsid w:val="00FE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2</cp:revision>
  <dcterms:created xsi:type="dcterms:W3CDTF">2025-09-22T11:45:00Z</dcterms:created>
  <dcterms:modified xsi:type="dcterms:W3CDTF">2025-09-22T11:45:00Z</dcterms:modified>
</cp:coreProperties>
</file>