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B050" w14:textId="77777777" w:rsidR="001C6A6F" w:rsidRPr="00EE071B" w:rsidRDefault="001C6A6F" w:rsidP="001C6A6F">
      <w:pPr>
        <w:spacing w:after="0" w:line="240" w:lineRule="auto"/>
        <w:outlineLvl w:val="1"/>
        <w:rPr>
          <w:rFonts w:ascii="Arial" w:eastAsia="Times New Roman" w:hAnsi="Arial" w:cs="Arial"/>
          <w:b/>
          <w:bCs/>
          <w:color w:val="242424"/>
          <w:sz w:val="24"/>
          <w:szCs w:val="24"/>
          <w:lang w:eastAsia="en-GB"/>
        </w:rPr>
      </w:pPr>
      <w:r w:rsidRPr="00EE071B">
        <w:rPr>
          <w:rFonts w:ascii="Arial" w:eastAsia="Times New Roman" w:hAnsi="Arial" w:cs="Arial"/>
          <w:b/>
          <w:bCs/>
          <w:color w:val="242424"/>
          <w:sz w:val="24"/>
          <w:szCs w:val="24"/>
          <w:lang w:eastAsia="en-GB"/>
        </w:rPr>
        <w:t>Job Description: SRP Lead (Specialist Resource Provision)</w:t>
      </w:r>
    </w:p>
    <w:p w14:paraId="08833CD3" w14:textId="77777777" w:rsidR="00E82964" w:rsidRPr="00EE071B" w:rsidRDefault="00E82964" w:rsidP="001C6A6F">
      <w:pPr>
        <w:spacing w:after="0" w:line="240" w:lineRule="auto"/>
        <w:rPr>
          <w:rFonts w:ascii="Arial" w:eastAsia="Times New Roman" w:hAnsi="Arial" w:cs="Arial"/>
          <w:b/>
          <w:bCs/>
          <w:color w:val="242424"/>
          <w:sz w:val="24"/>
          <w:szCs w:val="24"/>
          <w:lang w:eastAsia="en-GB"/>
        </w:rPr>
      </w:pPr>
    </w:p>
    <w:p w14:paraId="1945E480" w14:textId="7C2166EF"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b/>
          <w:bCs/>
          <w:color w:val="242424"/>
          <w:sz w:val="24"/>
          <w:szCs w:val="24"/>
          <w:lang w:eastAsia="en-GB"/>
        </w:rPr>
        <w:t>School:</w:t>
      </w:r>
      <w:r w:rsidRPr="00EE071B">
        <w:rPr>
          <w:rFonts w:ascii="Arial" w:eastAsia="Times New Roman" w:hAnsi="Arial" w:cs="Arial"/>
          <w:color w:val="242424"/>
          <w:sz w:val="24"/>
          <w:szCs w:val="24"/>
          <w:lang w:eastAsia="en-GB"/>
        </w:rPr>
        <w:t> Oxford Gardens Primary School</w:t>
      </w:r>
      <w:r w:rsidRPr="00EE071B">
        <w:rPr>
          <w:rFonts w:ascii="Arial" w:eastAsia="Times New Roman" w:hAnsi="Arial" w:cs="Arial"/>
          <w:color w:val="242424"/>
          <w:sz w:val="24"/>
          <w:szCs w:val="24"/>
          <w:lang w:eastAsia="en-GB"/>
        </w:rPr>
        <w:br/>
      </w:r>
      <w:r w:rsidRPr="00EE071B">
        <w:rPr>
          <w:rFonts w:ascii="Arial" w:eastAsia="Times New Roman" w:hAnsi="Arial" w:cs="Arial"/>
          <w:b/>
          <w:bCs/>
          <w:color w:val="242424"/>
          <w:sz w:val="24"/>
          <w:szCs w:val="24"/>
          <w:lang w:eastAsia="en-GB"/>
        </w:rPr>
        <w:t>Role:</w:t>
      </w:r>
      <w:r w:rsidRPr="00EE071B">
        <w:rPr>
          <w:rFonts w:ascii="Arial" w:eastAsia="Times New Roman" w:hAnsi="Arial" w:cs="Arial"/>
          <w:color w:val="242424"/>
          <w:sz w:val="24"/>
          <w:szCs w:val="24"/>
          <w:lang w:eastAsia="en-GB"/>
        </w:rPr>
        <w:t> SRP Lead (Specialist Resource Provision)</w:t>
      </w:r>
      <w:r w:rsidRPr="00EE071B">
        <w:rPr>
          <w:rFonts w:ascii="Arial" w:eastAsia="Times New Roman" w:hAnsi="Arial" w:cs="Arial"/>
          <w:color w:val="242424"/>
          <w:sz w:val="24"/>
          <w:szCs w:val="24"/>
          <w:lang w:eastAsia="en-GB"/>
        </w:rPr>
        <w:br/>
      </w:r>
      <w:r w:rsidRPr="00EE071B">
        <w:rPr>
          <w:rFonts w:ascii="Arial" w:eastAsia="Times New Roman" w:hAnsi="Arial" w:cs="Arial"/>
          <w:b/>
          <w:bCs/>
          <w:color w:val="242424"/>
          <w:sz w:val="24"/>
          <w:szCs w:val="24"/>
          <w:lang w:eastAsia="en-GB"/>
        </w:rPr>
        <w:t>Contract:</w:t>
      </w:r>
      <w:r w:rsidRPr="00EE071B">
        <w:rPr>
          <w:rFonts w:ascii="Arial" w:eastAsia="Times New Roman" w:hAnsi="Arial" w:cs="Arial"/>
          <w:color w:val="242424"/>
          <w:sz w:val="24"/>
          <w:szCs w:val="24"/>
          <w:lang w:eastAsia="en-GB"/>
        </w:rPr>
        <w:t> Full time, permanent</w:t>
      </w:r>
      <w:r w:rsidRPr="00EE071B">
        <w:rPr>
          <w:rFonts w:ascii="Arial" w:eastAsia="Times New Roman" w:hAnsi="Arial" w:cs="Arial"/>
          <w:color w:val="242424"/>
          <w:sz w:val="24"/>
          <w:szCs w:val="24"/>
          <w:lang w:eastAsia="en-GB"/>
        </w:rPr>
        <w:br/>
      </w:r>
      <w:r w:rsidRPr="00EE071B">
        <w:rPr>
          <w:rFonts w:ascii="Arial" w:eastAsia="Times New Roman" w:hAnsi="Arial" w:cs="Arial"/>
          <w:b/>
          <w:bCs/>
          <w:color w:val="242424"/>
          <w:sz w:val="24"/>
          <w:szCs w:val="24"/>
          <w:lang w:eastAsia="en-GB"/>
        </w:rPr>
        <w:t>Salary:</w:t>
      </w:r>
      <w:r w:rsidRPr="00EE071B">
        <w:rPr>
          <w:rFonts w:ascii="Arial" w:eastAsia="Times New Roman" w:hAnsi="Arial" w:cs="Arial"/>
          <w:color w:val="242424"/>
          <w:sz w:val="24"/>
          <w:szCs w:val="24"/>
          <w:lang w:eastAsia="en-GB"/>
        </w:rPr>
        <w:t xml:space="preserve"> Main Pay Scale + SEN allowance + TLR </w:t>
      </w:r>
    </w:p>
    <w:p w14:paraId="67BB867B" w14:textId="77777777" w:rsidR="00E82964" w:rsidRPr="00EE071B" w:rsidRDefault="00E82964" w:rsidP="001C6A6F">
      <w:pPr>
        <w:spacing w:after="0" w:line="240" w:lineRule="auto"/>
        <w:outlineLvl w:val="2"/>
        <w:rPr>
          <w:rFonts w:ascii="Arial" w:eastAsia="Times New Roman" w:hAnsi="Arial" w:cs="Arial"/>
          <w:b/>
          <w:bCs/>
          <w:color w:val="242424"/>
          <w:sz w:val="24"/>
          <w:szCs w:val="24"/>
          <w:lang w:eastAsia="en-GB"/>
        </w:rPr>
      </w:pPr>
    </w:p>
    <w:p w14:paraId="295BCAA8" w14:textId="2DC13283" w:rsidR="001C6A6F" w:rsidRPr="00EE071B" w:rsidRDefault="001C6A6F" w:rsidP="001C6A6F">
      <w:pPr>
        <w:spacing w:after="0" w:line="240" w:lineRule="auto"/>
        <w:outlineLvl w:val="2"/>
        <w:rPr>
          <w:rFonts w:ascii="Arial" w:eastAsia="Times New Roman" w:hAnsi="Arial" w:cs="Arial"/>
          <w:b/>
          <w:bCs/>
          <w:color w:val="242424"/>
          <w:sz w:val="24"/>
          <w:szCs w:val="24"/>
          <w:lang w:eastAsia="en-GB"/>
        </w:rPr>
      </w:pPr>
      <w:r w:rsidRPr="00EE071B">
        <w:rPr>
          <w:rFonts w:ascii="Arial" w:eastAsia="Times New Roman" w:hAnsi="Arial" w:cs="Arial"/>
          <w:b/>
          <w:bCs/>
          <w:color w:val="242424"/>
          <w:sz w:val="24"/>
          <w:szCs w:val="24"/>
          <w:lang w:eastAsia="en-GB"/>
        </w:rPr>
        <w:t>Main Purpose of the Role</w:t>
      </w:r>
    </w:p>
    <w:p w14:paraId="417A65CC" w14:textId="75C250A8"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 xml:space="preserve">To provide outstanding leadership of the school’s Specialist Resource Provision (SRP), ensuring high-quality teaching and effective support for </w:t>
      </w:r>
      <w:r w:rsidR="008C6488">
        <w:rPr>
          <w:rFonts w:ascii="Arial" w:eastAsia="Times New Roman" w:hAnsi="Arial" w:cs="Arial"/>
          <w:color w:val="242424"/>
          <w:sz w:val="24"/>
          <w:szCs w:val="24"/>
          <w:lang w:eastAsia="en-GB"/>
        </w:rPr>
        <w:t xml:space="preserve">16 </w:t>
      </w:r>
      <w:r w:rsidRPr="00EE071B">
        <w:rPr>
          <w:rFonts w:ascii="Arial" w:eastAsia="Times New Roman" w:hAnsi="Arial" w:cs="Arial"/>
          <w:color w:val="242424"/>
          <w:sz w:val="24"/>
          <w:szCs w:val="24"/>
          <w:lang w:eastAsia="en-GB"/>
        </w:rPr>
        <w:t>pupils with Special Educational Needs and Disabilities (SEND), particularly those with autism. The role involves working collaboratively with colleagues, parents, and external agencies to secure the best possible outcomes for pupils.</w:t>
      </w:r>
    </w:p>
    <w:p w14:paraId="7CC4D165" w14:textId="77777777" w:rsidR="00E82964" w:rsidRPr="00EE071B" w:rsidRDefault="00E82964" w:rsidP="001C6A6F">
      <w:pPr>
        <w:spacing w:after="0" w:line="240" w:lineRule="auto"/>
        <w:outlineLvl w:val="2"/>
        <w:rPr>
          <w:rFonts w:ascii="Arial" w:eastAsia="Times New Roman" w:hAnsi="Arial" w:cs="Arial"/>
          <w:b/>
          <w:bCs/>
          <w:color w:val="242424"/>
          <w:sz w:val="24"/>
          <w:szCs w:val="24"/>
          <w:lang w:eastAsia="en-GB"/>
        </w:rPr>
      </w:pPr>
    </w:p>
    <w:p w14:paraId="0FA029FD" w14:textId="23B429CC" w:rsidR="001C6A6F" w:rsidRPr="00EE071B" w:rsidRDefault="001C6A6F" w:rsidP="001C6A6F">
      <w:pPr>
        <w:spacing w:after="0" w:line="240" w:lineRule="auto"/>
        <w:outlineLvl w:val="2"/>
        <w:rPr>
          <w:rFonts w:ascii="Arial" w:eastAsia="Times New Roman" w:hAnsi="Arial" w:cs="Arial"/>
          <w:b/>
          <w:bCs/>
          <w:color w:val="242424"/>
          <w:sz w:val="24"/>
          <w:szCs w:val="24"/>
          <w:lang w:eastAsia="en-GB"/>
        </w:rPr>
      </w:pPr>
      <w:r w:rsidRPr="00EE071B">
        <w:rPr>
          <w:rFonts w:ascii="Arial" w:eastAsia="Times New Roman" w:hAnsi="Arial" w:cs="Arial"/>
          <w:b/>
          <w:bCs/>
          <w:color w:val="242424"/>
          <w:sz w:val="24"/>
          <w:szCs w:val="24"/>
          <w:lang w:eastAsia="en-GB"/>
        </w:rPr>
        <w:t>Key Responsibilities</w:t>
      </w:r>
    </w:p>
    <w:p w14:paraId="1A8AD32D" w14:textId="77777777"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Plan and deliver engaging, differentiated lessons tailored to individual EHCP targets</w:t>
      </w:r>
    </w:p>
    <w:p w14:paraId="5AD4324C" w14:textId="77777777"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Support pupils' communication, social, emotional, and behavioural development</w:t>
      </w:r>
    </w:p>
    <w:p w14:paraId="199A7C5B" w14:textId="793CD764"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Work alongside and manage experienced LSAs providing clear direction and support</w:t>
      </w:r>
    </w:p>
    <w:p w14:paraId="56A1745E" w14:textId="77777777"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Work with the SENDCo, parents, therapists, and external agencies to create tailored provision</w:t>
      </w:r>
    </w:p>
    <w:p w14:paraId="0AFA14AA" w14:textId="77777777"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Adapt teaching and planning to meet a wide range of abilities and needs</w:t>
      </w:r>
    </w:p>
    <w:p w14:paraId="36F7816B" w14:textId="77777777" w:rsidR="00FB27C9" w:rsidRPr="00FB27C9" w:rsidRDefault="00FB27C9" w:rsidP="00FB27C9">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Monitor and assess progress, maintaining clear and detailed records</w:t>
      </w:r>
    </w:p>
    <w:p w14:paraId="51B43F57" w14:textId="56E42F89" w:rsidR="00FB27C9" w:rsidRPr="00EE071B" w:rsidRDefault="00FB27C9" w:rsidP="001C6A6F">
      <w:pPr>
        <w:numPr>
          <w:ilvl w:val="0"/>
          <w:numId w:val="9"/>
        </w:numPr>
        <w:spacing w:after="0" w:line="240" w:lineRule="auto"/>
        <w:outlineLvl w:val="2"/>
        <w:rPr>
          <w:rFonts w:ascii="Arial" w:eastAsia="Times New Roman" w:hAnsi="Arial" w:cs="Arial"/>
          <w:color w:val="242424"/>
          <w:sz w:val="24"/>
          <w:szCs w:val="24"/>
          <w:lang w:eastAsia="en-GB"/>
        </w:rPr>
      </w:pPr>
      <w:r w:rsidRPr="00FB27C9">
        <w:rPr>
          <w:rFonts w:ascii="Arial" w:eastAsia="Times New Roman" w:hAnsi="Arial" w:cs="Arial"/>
          <w:color w:val="242424"/>
          <w:sz w:val="24"/>
          <w:szCs w:val="24"/>
          <w:lang w:eastAsia="en-GB"/>
        </w:rPr>
        <w:t>Foster a calm, inclusive, and engaging classroom environment</w:t>
      </w:r>
    </w:p>
    <w:p w14:paraId="0E779173"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Lead, manage and develop the Specialist Resource Provision (SRP), ensuring it meets the needs of all identified pupils</w:t>
      </w:r>
    </w:p>
    <w:p w14:paraId="1C13A7A5"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Chair annual reviews for pupils with EHCPs, ensuring statutory processes are followed</w:t>
      </w:r>
    </w:p>
    <w:p w14:paraId="391327A1"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Write, update, and oversee the implementation of Education, Health and Care Plans (EHCPs)</w:t>
      </w:r>
    </w:p>
    <w:p w14:paraId="2EE4184B"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Liaise effectively with parents, external agencies, and multidisciplinary teams to support pupils’ progress and wellbeing</w:t>
      </w:r>
    </w:p>
    <w:p w14:paraId="7F84AFB0"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Plan and deliver targeted interventions for pupils with SEND, with a particular focus on pupils with autism</w:t>
      </w:r>
    </w:p>
    <w:p w14:paraId="2054E6DB"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Lead and support staff in inclusive practice, modelling high expectations and effective strategies</w:t>
      </w:r>
    </w:p>
    <w:p w14:paraId="74291308" w14:textId="455DD35A"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Monitor pupil progress, analyse data, and report regularly to the senior leadership team</w:t>
      </w:r>
    </w:p>
    <w:p w14:paraId="3B81FA17" w14:textId="443FBC33" w:rsidR="00E82964" w:rsidRPr="00EE071B" w:rsidRDefault="00E82964"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Work closely and collaboratively with the SENCO</w:t>
      </w:r>
    </w:p>
    <w:p w14:paraId="66CC11F0"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Support the development and delivery of SEND training for staff</w:t>
      </w:r>
    </w:p>
    <w:p w14:paraId="3DD92417" w14:textId="77777777" w:rsidR="001C6A6F" w:rsidRPr="00EE071B" w:rsidRDefault="001C6A6F" w:rsidP="001C6A6F">
      <w:pPr>
        <w:numPr>
          <w:ilvl w:val="0"/>
          <w:numId w:val="1"/>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Ensure the SRP is fully integrated into the life of the school and contributes to a culture of inclusion</w:t>
      </w:r>
    </w:p>
    <w:p w14:paraId="535A2C2E" w14:textId="77777777" w:rsidR="00E82964" w:rsidRPr="00EE071B" w:rsidRDefault="00E82964" w:rsidP="001C6A6F">
      <w:pPr>
        <w:spacing w:after="0" w:line="240" w:lineRule="auto"/>
        <w:outlineLvl w:val="2"/>
        <w:rPr>
          <w:rFonts w:ascii="Arial" w:eastAsia="Times New Roman" w:hAnsi="Arial" w:cs="Arial"/>
          <w:b/>
          <w:bCs/>
          <w:color w:val="242424"/>
          <w:sz w:val="24"/>
          <w:szCs w:val="24"/>
          <w:lang w:eastAsia="en-GB"/>
        </w:rPr>
      </w:pPr>
    </w:p>
    <w:p w14:paraId="69A69983" w14:textId="77777777" w:rsidR="008C6488" w:rsidRDefault="008C6488" w:rsidP="001C6A6F">
      <w:pPr>
        <w:spacing w:after="0" w:line="240" w:lineRule="auto"/>
        <w:outlineLvl w:val="2"/>
        <w:rPr>
          <w:rFonts w:ascii="Arial" w:eastAsia="Times New Roman" w:hAnsi="Arial" w:cs="Arial"/>
          <w:b/>
          <w:bCs/>
          <w:color w:val="242424"/>
          <w:sz w:val="24"/>
          <w:szCs w:val="24"/>
          <w:lang w:eastAsia="en-GB"/>
        </w:rPr>
      </w:pPr>
    </w:p>
    <w:p w14:paraId="653677DE" w14:textId="77777777" w:rsidR="008C6488" w:rsidRDefault="008C6488" w:rsidP="001C6A6F">
      <w:pPr>
        <w:spacing w:after="0" w:line="240" w:lineRule="auto"/>
        <w:outlineLvl w:val="2"/>
        <w:rPr>
          <w:rFonts w:ascii="Arial" w:eastAsia="Times New Roman" w:hAnsi="Arial" w:cs="Arial"/>
          <w:b/>
          <w:bCs/>
          <w:color w:val="242424"/>
          <w:sz w:val="24"/>
          <w:szCs w:val="24"/>
          <w:lang w:eastAsia="en-GB"/>
        </w:rPr>
      </w:pPr>
    </w:p>
    <w:p w14:paraId="4D84F8F5" w14:textId="77777777" w:rsidR="008C6488" w:rsidRDefault="008C6488" w:rsidP="001C6A6F">
      <w:pPr>
        <w:spacing w:after="0" w:line="240" w:lineRule="auto"/>
        <w:outlineLvl w:val="2"/>
        <w:rPr>
          <w:rFonts w:ascii="Arial" w:eastAsia="Times New Roman" w:hAnsi="Arial" w:cs="Arial"/>
          <w:b/>
          <w:bCs/>
          <w:color w:val="242424"/>
          <w:sz w:val="24"/>
          <w:szCs w:val="24"/>
          <w:lang w:eastAsia="en-GB"/>
        </w:rPr>
      </w:pPr>
    </w:p>
    <w:p w14:paraId="67104385" w14:textId="77777777" w:rsidR="008C6488" w:rsidRDefault="008C6488" w:rsidP="001C6A6F">
      <w:pPr>
        <w:spacing w:after="0" w:line="240" w:lineRule="auto"/>
        <w:outlineLvl w:val="2"/>
        <w:rPr>
          <w:rFonts w:ascii="Arial" w:eastAsia="Times New Roman" w:hAnsi="Arial" w:cs="Arial"/>
          <w:b/>
          <w:bCs/>
          <w:color w:val="242424"/>
          <w:sz w:val="24"/>
          <w:szCs w:val="24"/>
          <w:lang w:eastAsia="en-GB"/>
        </w:rPr>
      </w:pPr>
    </w:p>
    <w:p w14:paraId="4070C171" w14:textId="77777777" w:rsidR="008C6488" w:rsidRDefault="008C6488" w:rsidP="001C6A6F">
      <w:pPr>
        <w:spacing w:after="0" w:line="240" w:lineRule="auto"/>
        <w:outlineLvl w:val="2"/>
        <w:rPr>
          <w:rFonts w:ascii="Arial" w:eastAsia="Times New Roman" w:hAnsi="Arial" w:cs="Arial"/>
          <w:b/>
          <w:bCs/>
          <w:color w:val="242424"/>
          <w:sz w:val="24"/>
          <w:szCs w:val="24"/>
          <w:lang w:eastAsia="en-GB"/>
        </w:rPr>
      </w:pPr>
    </w:p>
    <w:p w14:paraId="4E4A6284" w14:textId="75FB3016" w:rsidR="001C6A6F" w:rsidRPr="00EE071B" w:rsidRDefault="001C6A6F" w:rsidP="001C6A6F">
      <w:pPr>
        <w:spacing w:after="0" w:line="240" w:lineRule="auto"/>
        <w:outlineLvl w:val="2"/>
        <w:rPr>
          <w:rFonts w:ascii="Arial" w:eastAsia="Times New Roman" w:hAnsi="Arial" w:cs="Arial"/>
          <w:b/>
          <w:bCs/>
          <w:color w:val="242424"/>
          <w:sz w:val="24"/>
          <w:szCs w:val="24"/>
          <w:lang w:eastAsia="en-GB"/>
        </w:rPr>
      </w:pPr>
      <w:r w:rsidRPr="00EE071B">
        <w:rPr>
          <w:rFonts w:ascii="Arial" w:eastAsia="Times New Roman" w:hAnsi="Arial" w:cs="Arial"/>
          <w:b/>
          <w:bCs/>
          <w:color w:val="242424"/>
          <w:sz w:val="24"/>
          <w:szCs w:val="24"/>
          <w:lang w:eastAsia="en-GB"/>
        </w:rPr>
        <w:lastRenderedPageBreak/>
        <w:t>Person Specification</w:t>
      </w:r>
    </w:p>
    <w:p w14:paraId="7704304D" w14:textId="77777777" w:rsidR="00D65903" w:rsidRPr="00EE071B" w:rsidRDefault="00D65903" w:rsidP="001C6A6F">
      <w:pPr>
        <w:spacing w:after="0" w:line="240" w:lineRule="auto"/>
        <w:rPr>
          <w:rFonts w:ascii="Arial" w:eastAsia="Times New Roman" w:hAnsi="Arial" w:cs="Arial"/>
          <w:b/>
          <w:bCs/>
          <w:color w:val="242424"/>
          <w:sz w:val="24"/>
          <w:szCs w:val="24"/>
          <w:lang w:eastAsia="en-GB"/>
        </w:rPr>
      </w:pPr>
    </w:p>
    <w:p w14:paraId="16B24BD4" w14:textId="22BAE587"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b/>
          <w:bCs/>
          <w:color w:val="242424"/>
          <w:sz w:val="24"/>
          <w:szCs w:val="24"/>
          <w:lang w:eastAsia="en-GB"/>
        </w:rPr>
        <w:t>Qualifications and Training</w:t>
      </w:r>
    </w:p>
    <w:p w14:paraId="5113D0BE" w14:textId="77777777" w:rsidR="001C6A6F" w:rsidRPr="00EE071B" w:rsidRDefault="001C6A6F" w:rsidP="001C6A6F">
      <w:pPr>
        <w:numPr>
          <w:ilvl w:val="0"/>
          <w:numId w:val="2"/>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Qualified teacher status (QTS)</w:t>
      </w:r>
    </w:p>
    <w:p w14:paraId="003BE2DE" w14:textId="77777777" w:rsidR="001C6A6F" w:rsidRPr="00EE071B" w:rsidRDefault="001C6A6F" w:rsidP="001C6A6F">
      <w:pPr>
        <w:numPr>
          <w:ilvl w:val="0"/>
          <w:numId w:val="2"/>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Evidence of ongoing professional development relevant to SEND and leadership</w:t>
      </w:r>
    </w:p>
    <w:p w14:paraId="6E2E24F5" w14:textId="77777777" w:rsidR="00D65903" w:rsidRPr="00EE071B" w:rsidRDefault="00D65903" w:rsidP="001C6A6F">
      <w:pPr>
        <w:spacing w:after="0" w:line="240" w:lineRule="auto"/>
        <w:rPr>
          <w:rFonts w:ascii="Arial" w:eastAsia="Times New Roman" w:hAnsi="Arial" w:cs="Arial"/>
          <w:b/>
          <w:bCs/>
          <w:color w:val="242424"/>
          <w:sz w:val="24"/>
          <w:szCs w:val="24"/>
          <w:lang w:eastAsia="en-GB"/>
        </w:rPr>
      </w:pPr>
    </w:p>
    <w:p w14:paraId="147B09F6" w14:textId="76BDE604"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b/>
          <w:bCs/>
          <w:color w:val="242424"/>
          <w:sz w:val="24"/>
          <w:szCs w:val="24"/>
          <w:lang w:eastAsia="en-GB"/>
        </w:rPr>
        <w:t>Experience</w:t>
      </w:r>
    </w:p>
    <w:p w14:paraId="4F39D565" w14:textId="77777777" w:rsidR="001C6A6F" w:rsidRPr="00EE071B" w:rsidRDefault="001C6A6F" w:rsidP="001C6A6F">
      <w:pPr>
        <w:numPr>
          <w:ilvl w:val="0"/>
          <w:numId w:val="3"/>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Proven experience of working with children with SEND, particularly autism</w:t>
      </w:r>
    </w:p>
    <w:p w14:paraId="78BC6048" w14:textId="77777777" w:rsidR="001C6A6F" w:rsidRPr="00EE071B" w:rsidRDefault="001C6A6F" w:rsidP="001C6A6F">
      <w:pPr>
        <w:numPr>
          <w:ilvl w:val="0"/>
          <w:numId w:val="3"/>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Experience in producing and managing EHCPs and leading annual reviews (desirable)</w:t>
      </w:r>
    </w:p>
    <w:p w14:paraId="6DC69F57" w14:textId="77777777" w:rsidR="001C6A6F" w:rsidRPr="00EE071B" w:rsidRDefault="001C6A6F" w:rsidP="001C6A6F">
      <w:pPr>
        <w:numPr>
          <w:ilvl w:val="0"/>
          <w:numId w:val="3"/>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Experience of leading or coordinating provision for pupils with SEND (desirable)</w:t>
      </w:r>
    </w:p>
    <w:p w14:paraId="47CCB3A9" w14:textId="77777777" w:rsidR="00D65903" w:rsidRPr="00EE071B" w:rsidRDefault="00D65903" w:rsidP="001C6A6F">
      <w:pPr>
        <w:spacing w:after="0" w:line="240" w:lineRule="auto"/>
        <w:rPr>
          <w:rFonts w:ascii="Arial" w:eastAsia="Times New Roman" w:hAnsi="Arial" w:cs="Arial"/>
          <w:b/>
          <w:bCs/>
          <w:color w:val="242424"/>
          <w:sz w:val="24"/>
          <w:szCs w:val="24"/>
          <w:lang w:eastAsia="en-GB"/>
        </w:rPr>
      </w:pPr>
    </w:p>
    <w:p w14:paraId="77DBD01A" w14:textId="7B4CAE6E"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b/>
          <w:bCs/>
          <w:color w:val="242424"/>
          <w:sz w:val="24"/>
          <w:szCs w:val="24"/>
          <w:lang w:eastAsia="en-GB"/>
        </w:rPr>
        <w:t>Skills and Knowledge</w:t>
      </w:r>
    </w:p>
    <w:p w14:paraId="46CB6D41" w14:textId="77777777" w:rsidR="001C6A6F" w:rsidRPr="00EE071B" w:rsidRDefault="001C6A6F" w:rsidP="001C6A6F">
      <w:pPr>
        <w:numPr>
          <w:ilvl w:val="0"/>
          <w:numId w:val="4"/>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Strong knowledge of current SEND legislation, guidance, and best practice</w:t>
      </w:r>
    </w:p>
    <w:p w14:paraId="052B418A" w14:textId="77777777" w:rsidR="001C6A6F" w:rsidRPr="00EE071B" w:rsidRDefault="001C6A6F" w:rsidP="001C6A6F">
      <w:pPr>
        <w:numPr>
          <w:ilvl w:val="0"/>
          <w:numId w:val="4"/>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Excellent communication and organisational skills</w:t>
      </w:r>
    </w:p>
    <w:p w14:paraId="677E0653" w14:textId="77777777" w:rsidR="001C6A6F" w:rsidRPr="00EE071B" w:rsidRDefault="001C6A6F" w:rsidP="001C6A6F">
      <w:pPr>
        <w:numPr>
          <w:ilvl w:val="0"/>
          <w:numId w:val="4"/>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Ability to work collaboratively with parents, colleagues, and external professionals</w:t>
      </w:r>
    </w:p>
    <w:p w14:paraId="68C58B05" w14:textId="77777777" w:rsidR="001C6A6F" w:rsidRPr="00EE071B" w:rsidRDefault="001C6A6F" w:rsidP="001C6A6F">
      <w:pPr>
        <w:numPr>
          <w:ilvl w:val="0"/>
          <w:numId w:val="4"/>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Ability to plan and deliver effective interventions</w:t>
      </w:r>
    </w:p>
    <w:p w14:paraId="7D733C18" w14:textId="77777777" w:rsidR="001C6A6F" w:rsidRPr="00EE071B" w:rsidRDefault="001C6A6F" w:rsidP="001C6A6F">
      <w:pPr>
        <w:numPr>
          <w:ilvl w:val="0"/>
          <w:numId w:val="4"/>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Ability to analyse data and monitor progress</w:t>
      </w:r>
    </w:p>
    <w:p w14:paraId="31EE9789" w14:textId="77777777" w:rsidR="00D65903" w:rsidRPr="00EE071B" w:rsidRDefault="00D65903" w:rsidP="001C6A6F">
      <w:pPr>
        <w:spacing w:after="0" w:line="240" w:lineRule="auto"/>
        <w:rPr>
          <w:rFonts w:ascii="Arial" w:eastAsia="Times New Roman" w:hAnsi="Arial" w:cs="Arial"/>
          <w:b/>
          <w:bCs/>
          <w:color w:val="242424"/>
          <w:sz w:val="24"/>
          <w:szCs w:val="24"/>
          <w:lang w:eastAsia="en-GB"/>
        </w:rPr>
      </w:pPr>
    </w:p>
    <w:p w14:paraId="48D55988" w14:textId="1315446C" w:rsidR="001C6A6F" w:rsidRPr="00EE071B" w:rsidRDefault="001C6A6F" w:rsidP="001C6A6F">
      <w:pPr>
        <w:spacing w:after="0" w:line="240" w:lineRule="auto"/>
        <w:rPr>
          <w:rFonts w:ascii="Arial" w:eastAsia="Times New Roman" w:hAnsi="Arial" w:cs="Arial"/>
          <w:color w:val="242424"/>
          <w:sz w:val="24"/>
          <w:szCs w:val="24"/>
          <w:lang w:eastAsia="en-GB"/>
        </w:rPr>
      </w:pPr>
      <w:r w:rsidRPr="00EE071B">
        <w:rPr>
          <w:rFonts w:ascii="Arial" w:eastAsia="Times New Roman" w:hAnsi="Arial" w:cs="Arial"/>
          <w:b/>
          <w:bCs/>
          <w:color w:val="242424"/>
          <w:sz w:val="24"/>
          <w:szCs w:val="24"/>
          <w:lang w:eastAsia="en-GB"/>
        </w:rPr>
        <w:t>Personal Qualities</w:t>
      </w:r>
    </w:p>
    <w:p w14:paraId="3BD89724"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Commitment to inclusive education and high expectations for all pupils</w:t>
      </w:r>
    </w:p>
    <w:p w14:paraId="7F2B06A8"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Empathy, patience, and resilience</w:t>
      </w:r>
    </w:p>
    <w:p w14:paraId="30AB5F48"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Ability to lead, inspire, and motivate others</w:t>
      </w:r>
    </w:p>
    <w:p w14:paraId="39731790"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Commitment to safeguarding and promoting the welfare of children</w:t>
      </w:r>
    </w:p>
    <w:p w14:paraId="0F5BB0F4"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Ability to prioritise and work under pressure</w:t>
      </w:r>
    </w:p>
    <w:p w14:paraId="4BA0389D" w14:textId="77777777" w:rsidR="001C6A6F" w:rsidRPr="00EE071B" w:rsidRDefault="001C6A6F" w:rsidP="001C6A6F">
      <w:pPr>
        <w:numPr>
          <w:ilvl w:val="0"/>
          <w:numId w:val="5"/>
        </w:numPr>
        <w:spacing w:after="0" w:line="240" w:lineRule="auto"/>
        <w:rPr>
          <w:rFonts w:ascii="Arial" w:eastAsia="Times New Roman" w:hAnsi="Arial" w:cs="Arial"/>
          <w:color w:val="242424"/>
          <w:sz w:val="24"/>
          <w:szCs w:val="24"/>
          <w:lang w:eastAsia="en-GB"/>
        </w:rPr>
      </w:pPr>
      <w:r w:rsidRPr="00EE071B">
        <w:rPr>
          <w:rFonts w:ascii="Arial" w:eastAsia="Times New Roman" w:hAnsi="Arial" w:cs="Arial"/>
          <w:color w:val="242424"/>
          <w:sz w:val="24"/>
          <w:szCs w:val="24"/>
          <w:lang w:eastAsia="en-GB"/>
        </w:rPr>
        <w:t>Commitment to equality and promoting diversity</w:t>
      </w:r>
    </w:p>
    <w:p w14:paraId="5CA8ACCF" w14:textId="77777777" w:rsidR="001C6A6F" w:rsidRPr="00EE071B" w:rsidRDefault="00D0662D" w:rsidP="001C6A6F">
      <w:pPr>
        <w:spacing w:after="0" w:line="240" w:lineRule="auto"/>
        <w:rPr>
          <w:rFonts w:ascii="Times New Roman" w:eastAsia="Times New Roman" w:hAnsi="Times New Roman" w:cs="Times New Roman"/>
          <w:sz w:val="24"/>
          <w:szCs w:val="24"/>
          <w:lang w:eastAsia="en-GB"/>
        </w:rPr>
      </w:pPr>
      <w:r w:rsidRPr="00EE071B">
        <w:rPr>
          <w:rFonts w:ascii="Times New Roman" w:eastAsia="Times New Roman" w:hAnsi="Times New Roman" w:cs="Times New Roman"/>
          <w:sz w:val="24"/>
          <w:szCs w:val="24"/>
          <w:lang w:eastAsia="en-GB"/>
        </w:rPr>
        <w:pict w14:anchorId="5775B71F">
          <v:rect id="_x0000_i1025" style="width:0;height:1.5pt" o:hralign="center" o:hrstd="t" o:hr="t" fillcolor="#a0a0a0" stroked="f"/>
        </w:pict>
      </w:r>
    </w:p>
    <w:p w14:paraId="37E8008C"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2828D32D"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70CDDAAB"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65D82772"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0E58FA1A"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6251F16B"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405B34EF"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5D1E6C4B"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2CEA83E4"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15E4EC40"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08AF99D0" w14:textId="77777777" w:rsidR="00FB27C9" w:rsidRPr="00EE071B" w:rsidRDefault="00FB27C9" w:rsidP="001C6A6F">
      <w:pPr>
        <w:spacing w:after="0" w:line="240" w:lineRule="auto"/>
        <w:outlineLvl w:val="1"/>
        <w:rPr>
          <w:rFonts w:ascii="Arial" w:eastAsia="Times New Roman" w:hAnsi="Arial" w:cs="Arial"/>
          <w:b/>
          <w:bCs/>
          <w:color w:val="242424"/>
          <w:sz w:val="24"/>
          <w:szCs w:val="24"/>
          <w:lang w:eastAsia="en-GB"/>
        </w:rPr>
      </w:pPr>
    </w:p>
    <w:p w14:paraId="2E1B44F6"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6CF08D2D"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2FA57A25"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45A937FE"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33841E0E"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02B178B6"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10945CA8"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4A65080D" w14:textId="77777777" w:rsidR="00EE071B" w:rsidRDefault="00EE071B" w:rsidP="001C6A6F">
      <w:pPr>
        <w:spacing w:after="0" w:line="240" w:lineRule="auto"/>
        <w:outlineLvl w:val="1"/>
        <w:rPr>
          <w:rFonts w:ascii="Arial" w:eastAsia="Times New Roman" w:hAnsi="Arial" w:cs="Arial"/>
          <w:b/>
          <w:bCs/>
          <w:color w:val="242424"/>
          <w:sz w:val="24"/>
          <w:szCs w:val="24"/>
          <w:lang w:eastAsia="en-GB"/>
        </w:rPr>
      </w:pPr>
    </w:p>
    <w:p w14:paraId="71FECFC5" w14:textId="77777777" w:rsidR="002B6AAA" w:rsidRPr="00EE071B" w:rsidRDefault="002B6AAA">
      <w:pPr>
        <w:rPr>
          <w:sz w:val="24"/>
          <w:szCs w:val="24"/>
        </w:rPr>
      </w:pPr>
    </w:p>
    <w:sectPr w:rsidR="002B6AAA" w:rsidRPr="00EE0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A76"/>
    <w:multiLevelType w:val="multilevel"/>
    <w:tmpl w:val="C65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4025"/>
    <w:multiLevelType w:val="multilevel"/>
    <w:tmpl w:val="23B4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32441"/>
    <w:multiLevelType w:val="multilevel"/>
    <w:tmpl w:val="0B4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30D3E"/>
    <w:multiLevelType w:val="multilevel"/>
    <w:tmpl w:val="861E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214BD"/>
    <w:multiLevelType w:val="multilevel"/>
    <w:tmpl w:val="97E6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97D57"/>
    <w:multiLevelType w:val="multilevel"/>
    <w:tmpl w:val="93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A65A2"/>
    <w:multiLevelType w:val="multilevel"/>
    <w:tmpl w:val="6F4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C5C8D"/>
    <w:multiLevelType w:val="multilevel"/>
    <w:tmpl w:val="D0E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12D66"/>
    <w:multiLevelType w:val="multilevel"/>
    <w:tmpl w:val="D774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6F"/>
    <w:rsid w:val="001C6A6F"/>
    <w:rsid w:val="0026364F"/>
    <w:rsid w:val="002B6AAA"/>
    <w:rsid w:val="008C6488"/>
    <w:rsid w:val="00B06484"/>
    <w:rsid w:val="00D0662D"/>
    <w:rsid w:val="00D65903"/>
    <w:rsid w:val="00E82964"/>
    <w:rsid w:val="00EE071B"/>
    <w:rsid w:val="00FB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CAB70"/>
  <w15:chartTrackingRefBased/>
  <w15:docId w15:val="{36A5014F-0E9C-4316-B079-FF4773AF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300354">
      <w:bodyDiv w:val="1"/>
      <w:marLeft w:val="0"/>
      <w:marRight w:val="0"/>
      <w:marTop w:val="0"/>
      <w:marBottom w:val="0"/>
      <w:divBdr>
        <w:top w:val="none" w:sz="0" w:space="0" w:color="auto"/>
        <w:left w:val="none" w:sz="0" w:space="0" w:color="auto"/>
        <w:bottom w:val="none" w:sz="0" w:space="0" w:color="auto"/>
        <w:right w:val="none" w:sz="0" w:space="0" w:color="auto"/>
      </w:divBdr>
      <w:divsChild>
        <w:div w:id="313991058">
          <w:marLeft w:val="0"/>
          <w:marRight w:val="0"/>
          <w:marTop w:val="0"/>
          <w:marBottom w:val="0"/>
          <w:divBdr>
            <w:top w:val="none" w:sz="0" w:space="0" w:color="auto"/>
            <w:left w:val="none" w:sz="0" w:space="0" w:color="auto"/>
            <w:bottom w:val="none" w:sz="0" w:space="0" w:color="auto"/>
            <w:right w:val="none" w:sz="0" w:space="0" w:color="auto"/>
          </w:divBdr>
        </w:div>
      </w:divsChild>
    </w:div>
    <w:div w:id="176884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Gardens Primary School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laurenp@oxford.local</cp:lastModifiedBy>
  <cp:revision>5</cp:revision>
  <dcterms:created xsi:type="dcterms:W3CDTF">2026-06-03T13:03:00Z</dcterms:created>
  <dcterms:modified xsi:type="dcterms:W3CDTF">2026-06-03T13:11:00Z</dcterms:modified>
</cp:coreProperties>
</file>