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05" w:rsidRDefault="00490598">
      <w:pPr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FALINGE PARK HIGH SCHOOL</w:t>
      </w:r>
    </w:p>
    <w:p w:rsidR="00BD5D05" w:rsidRDefault="00BD5D05">
      <w:pPr>
        <w:rPr>
          <w:rFonts w:ascii="Arial" w:eastAsia="Arial" w:hAnsi="Arial" w:cs="Arial"/>
          <w:b/>
          <w:sz w:val="28"/>
          <w:szCs w:val="28"/>
        </w:rPr>
      </w:pPr>
    </w:p>
    <w:p w:rsidR="00BD5D05" w:rsidRDefault="00490598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sz w:val="28"/>
          <w:szCs w:val="28"/>
        </w:rPr>
        <w:t xml:space="preserve">Subject Lead Food </w:t>
      </w:r>
    </w:p>
    <w:p w:rsidR="00BD5D05" w:rsidRDefault="0049059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Taking up Post: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BD5D05" w:rsidRDefault="00BD5D05">
      <w:pPr>
        <w:rPr>
          <w:rFonts w:ascii="Arial" w:eastAsia="Arial" w:hAnsi="Arial" w:cs="Arial"/>
        </w:rPr>
      </w:pPr>
    </w:p>
    <w:p w:rsidR="00BD5D05" w:rsidRDefault="00BD5D05">
      <w:pPr>
        <w:rPr>
          <w:rFonts w:ascii="Arial" w:eastAsia="Arial" w:hAnsi="Arial" w:cs="Arial"/>
        </w:rPr>
      </w:pPr>
    </w:p>
    <w:p w:rsidR="00BD5D05" w:rsidRDefault="0049059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Organisation Chart </w:t>
      </w:r>
    </w:p>
    <w:p w:rsidR="00BD5D05" w:rsidRDefault="00BD5D05">
      <w:pPr>
        <w:rPr>
          <w:rFonts w:ascii="Arial" w:eastAsia="Arial" w:hAnsi="Arial" w:cs="Arial"/>
          <w:b/>
          <w:sz w:val="22"/>
          <w:szCs w:val="22"/>
        </w:rPr>
      </w:pPr>
    </w:p>
    <w:p w:rsidR="00BD5D05" w:rsidRDefault="00BD5D05">
      <w:pPr>
        <w:rPr>
          <w:rFonts w:ascii="Arial" w:eastAsia="Arial" w:hAnsi="Arial" w:cs="Arial"/>
          <w:sz w:val="16"/>
          <w:szCs w:val="16"/>
        </w:rPr>
      </w:pPr>
    </w:p>
    <w:p w:rsidR="00BD5D05" w:rsidRDefault="00BD5D05">
      <w:pPr>
        <w:rPr>
          <w:rFonts w:ascii="Arial" w:eastAsia="Arial" w:hAnsi="Arial" w:cs="Arial"/>
          <w:sz w:val="16"/>
          <w:szCs w:val="16"/>
        </w:rPr>
      </w:pPr>
    </w:p>
    <w:p w:rsidR="00BD5D05" w:rsidRDefault="00BD5D05">
      <w:pPr>
        <w:rPr>
          <w:rFonts w:ascii="Arial" w:eastAsia="Arial" w:hAnsi="Arial" w:cs="Arial"/>
          <w:b/>
          <w:sz w:val="22"/>
          <w:szCs w:val="22"/>
        </w:rPr>
      </w:pPr>
    </w:p>
    <w:p w:rsidR="00BD5D05" w:rsidRDefault="00BD5D05">
      <w:pPr>
        <w:rPr>
          <w:rFonts w:ascii="Arial" w:eastAsia="Arial" w:hAnsi="Arial" w:cs="Arial"/>
          <w:b/>
          <w:sz w:val="22"/>
          <w:szCs w:val="22"/>
        </w:rPr>
      </w:pPr>
    </w:p>
    <w:p w:rsidR="00BD5D05" w:rsidRDefault="00490598">
      <w:pPr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3040380</wp:posOffset>
            </wp:positionH>
            <wp:positionV relativeFrom="paragraph">
              <wp:posOffset>58420</wp:posOffset>
            </wp:positionV>
            <wp:extent cx="3665220" cy="279654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2796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5D05" w:rsidRDefault="00490598">
      <w:pPr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:rsidR="00BD5D05" w:rsidRDefault="0049059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Job role and purpose</w:t>
      </w:r>
    </w:p>
    <w:p w:rsidR="00BD5D05" w:rsidRDefault="00BD5D05">
      <w:pPr>
        <w:rPr>
          <w:rFonts w:ascii="Arial" w:eastAsia="Arial" w:hAnsi="Arial" w:cs="Arial"/>
          <w:b/>
          <w:sz w:val="22"/>
          <w:szCs w:val="22"/>
        </w:rPr>
      </w:pPr>
    </w:p>
    <w:p w:rsidR="00BD5D05" w:rsidRDefault="00490598">
      <w:pPr>
        <w:numPr>
          <w:ilvl w:val="0"/>
          <w:numId w:val="7"/>
        </w:num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To create a compelling learning experience </w:t>
      </w:r>
    </w:p>
    <w:p w:rsidR="00BD5D05" w:rsidRDefault="00BD5D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D5D05" w:rsidRDefault="00490598">
      <w:pPr>
        <w:numPr>
          <w:ilvl w:val="0"/>
          <w:numId w:val="7"/>
        </w:num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To actively commit to the school strategy of believing in people (professional learning and research) and positive relationships</w:t>
      </w:r>
    </w:p>
    <w:p w:rsidR="00BD5D05" w:rsidRDefault="00BD5D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D5D05" w:rsidRDefault="00490598">
      <w:pPr>
        <w:numPr>
          <w:ilvl w:val="0"/>
          <w:numId w:val="7"/>
        </w:num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To lead Food and Nutrition</w:t>
      </w:r>
    </w:p>
    <w:p w:rsidR="00BD5D05" w:rsidRDefault="00BD5D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D5D05" w:rsidRDefault="00490598">
      <w:pPr>
        <w:numPr>
          <w:ilvl w:val="0"/>
          <w:numId w:val="7"/>
        </w:num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To demonstrate compelling leadership as part of the wider leadership team</w:t>
      </w:r>
    </w:p>
    <w:p w:rsidR="00BD5D05" w:rsidRDefault="00BD5D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D5D05" w:rsidRDefault="0049059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Principal responsibilities:</w:t>
      </w:r>
    </w:p>
    <w:p w:rsidR="00BD5D05" w:rsidRDefault="00BD5D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BD5D05" w:rsidRDefault="0049059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The role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has been developed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so that subject leads can focus on two key areas:</w:t>
      </w:r>
    </w:p>
    <w:p w:rsidR="00BD5D05" w:rsidRDefault="004905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Curriculum and assessment design;</w:t>
      </w:r>
    </w:p>
    <w:p w:rsidR="00BD5D05" w:rsidRDefault="004905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Improving teaching and learning within their subject area.</w:t>
      </w:r>
    </w:p>
    <w:p w:rsidR="00BD5D05" w:rsidRDefault="00BD5D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D5D05" w:rsidRDefault="0049059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Reporting to Directors of Areas</w:t>
      </w:r>
    </w:p>
    <w:p w:rsidR="00BD5D05" w:rsidRDefault="00BD5D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D5D05" w:rsidRDefault="004905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Embody and fulfil the values of Compelling Leadership.</w:t>
      </w:r>
    </w:p>
    <w:p w:rsidR="00BD5D05" w:rsidRDefault="004905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Keep up to date with educational changes within their subject specialisms.</w:t>
      </w:r>
    </w:p>
    <w:p w:rsidR="00BD5D05" w:rsidRDefault="004905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Lead curriculum design within their teams so that:</w:t>
      </w:r>
    </w:p>
    <w:p w:rsidR="00BD5D05" w:rsidRDefault="00490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The big ideas of the curriculum are evident within their own curriculum are</w:t>
      </w:r>
      <w:r>
        <w:rPr>
          <w:rFonts w:ascii="Calibri" w:eastAsia="Calibri" w:hAnsi="Calibri" w:cs="Calibri"/>
          <w:color w:val="000000"/>
          <w:sz w:val="22"/>
          <w:szCs w:val="22"/>
        </w:rPr>
        <w:t>as and are met;</w:t>
      </w:r>
    </w:p>
    <w:p w:rsidR="00BD5D05" w:rsidRDefault="00490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The big ideas and concepts of their curriculum areas are clearly defined;</w:t>
      </w:r>
    </w:p>
    <w:p w:rsidR="00BD5D05" w:rsidRDefault="00490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The application of knowledge and the acquisition of subject specific skills are clearly defined;</w:t>
      </w:r>
    </w:p>
    <w:p w:rsidR="00BD5D05" w:rsidRDefault="00490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Curriculum constructs are clearly identified;</w:t>
      </w:r>
    </w:p>
    <w:p w:rsidR="00BD5D05" w:rsidRDefault="00490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Misconceptions and prior learning inform pedagogy;</w:t>
      </w:r>
    </w:p>
    <w:p w:rsidR="00BD5D05" w:rsidRDefault="00490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The CREATE framework is used to guide curriculum design;</w:t>
      </w:r>
    </w:p>
    <w:p w:rsidR="00BD5D05" w:rsidRDefault="00490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Assessments are designed to measure the constructs and that assessments have purpose, valid inferences can be made, they are reliable and have value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BD5D05" w:rsidRDefault="00490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Assessment information is used to reframe teaching and learning and the curriculum;</w:t>
      </w:r>
    </w:p>
    <w:p w:rsidR="00BD5D05" w:rsidRDefault="00490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Lead planning meetings on a fortnightly basis to ensure that the aims of the curriculum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are translated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into the classroom.</w:t>
      </w:r>
    </w:p>
    <w:p w:rsidR="00BD5D05" w:rsidRDefault="004905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Improve teaching and learning within their subj</w:t>
      </w:r>
      <w:r>
        <w:rPr>
          <w:rFonts w:ascii="Calibri" w:eastAsia="Calibri" w:hAnsi="Calibri" w:cs="Calibri"/>
          <w:color w:val="000000"/>
          <w:sz w:val="22"/>
          <w:szCs w:val="22"/>
        </w:rPr>
        <w:t>ect areas through:</w:t>
      </w:r>
    </w:p>
    <w:p w:rsidR="00BD5D05" w:rsidRDefault="004905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Working alongside teachers within their classrooms to improve practice;</w:t>
      </w:r>
    </w:p>
    <w:p w:rsidR="00BD5D05" w:rsidRDefault="004905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Le</w:t>
      </w:r>
      <w:r>
        <w:rPr>
          <w:rFonts w:ascii="Calibri" w:eastAsia="Calibri" w:hAnsi="Calibri" w:cs="Calibri"/>
          <w:sz w:val="22"/>
          <w:szCs w:val="22"/>
        </w:rPr>
        <w:t xml:space="preserve">ading teachers through fortnightly planning meetings to ensure that the best teaching practice is being shared and acted upon; </w:t>
      </w:r>
    </w:p>
    <w:p w:rsidR="00BD5D05" w:rsidRDefault="004905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2"/>
          <w:szCs w:val="22"/>
        </w:rPr>
        <w:t>Identifying hinge questions and supporting teachers in ensuring they use and respond to the hinge questions;</w:t>
      </w:r>
    </w:p>
    <w:p w:rsidR="00BD5D05" w:rsidRDefault="004905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2"/>
          <w:szCs w:val="22"/>
        </w:rPr>
        <w:t>Providing guidance and leadership on pedagogy;</w:t>
      </w:r>
    </w:p>
    <w:p w:rsidR="00BD5D05" w:rsidRDefault="004905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2"/>
          <w:szCs w:val="22"/>
        </w:rPr>
        <w:t>Addressing variation within the teaching practice within their team in line with the school ethos;</w:t>
      </w:r>
    </w:p>
    <w:p w:rsidR="00BD5D05" w:rsidRDefault="004905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nsuring the “nuts and bolts” of the curriculum (literacy development and Tier 2 vocabulary) are evident in teachers’ practice and within books;</w:t>
      </w:r>
    </w:p>
    <w:p w:rsidR="00BD5D05" w:rsidRDefault="004905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2"/>
          <w:szCs w:val="22"/>
        </w:rPr>
        <w:t>Ensuring that teachers fulfil effectively the “bread and butter” of their professional responsibility: plan, tea</w:t>
      </w:r>
      <w:r>
        <w:rPr>
          <w:rFonts w:ascii="Calibri" w:eastAsia="Calibri" w:hAnsi="Calibri" w:cs="Calibri"/>
          <w:sz w:val="22"/>
          <w:szCs w:val="22"/>
        </w:rPr>
        <w:t>ch, mark;</w:t>
      </w:r>
    </w:p>
    <w:p w:rsidR="00BD5D05" w:rsidRDefault="004905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2"/>
          <w:szCs w:val="22"/>
        </w:rPr>
        <w:t>Ensuring that Learning Goals within their subject areas are meaningful and manageable;</w:t>
      </w:r>
    </w:p>
    <w:p w:rsidR="00BD5D05" w:rsidRDefault="004905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2"/>
          <w:szCs w:val="22"/>
        </w:rPr>
        <w:t xml:space="preserve">Ensuring that the Effective Feedback Policy is fulfilled </w:t>
      </w:r>
      <w:proofErr w:type="gramStart"/>
      <w:r>
        <w:rPr>
          <w:rFonts w:ascii="Calibri" w:eastAsia="Calibri" w:hAnsi="Calibri" w:cs="Calibri"/>
          <w:sz w:val="22"/>
          <w:szCs w:val="22"/>
        </w:rPr>
        <w:t>so as to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reduce variation and increase improvement.</w:t>
      </w:r>
    </w:p>
    <w:p w:rsidR="00BD5D05" w:rsidRDefault="004905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2"/>
          <w:szCs w:val="22"/>
        </w:rPr>
        <w:t>Meet regularly wi</w:t>
      </w:r>
      <w:r>
        <w:rPr>
          <w:rFonts w:ascii="Calibri" w:eastAsia="Calibri" w:hAnsi="Calibri" w:cs="Calibri"/>
          <w:color w:val="000000"/>
          <w:sz w:val="22"/>
          <w:szCs w:val="22"/>
        </w:rPr>
        <w:t>th Directors and engage in profes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sional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dialogue which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will include how teachers’ reflection sheets match the quality of the work in the classroom.</w:t>
      </w:r>
    </w:p>
    <w:p w:rsidR="00BD5D05" w:rsidRDefault="004905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Be prepared to meet weekly after school as part of their professional development in this area.</w:t>
      </w:r>
    </w:p>
    <w:p w:rsidR="00BD5D05" w:rsidRDefault="004905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Undertake Performance Development reviews in </w:t>
      </w:r>
      <w:r>
        <w:rPr>
          <w:rFonts w:ascii="Calibri" w:eastAsia="Calibri" w:hAnsi="Calibri" w:cs="Calibri"/>
          <w:color w:val="000000"/>
          <w:sz w:val="22"/>
          <w:szCs w:val="22"/>
        </w:rPr>
        <w:t>line with school policy.</w:t>
      </w:r>
    </w:p>
    <w:p w:rsidR="00BD5D05" w:rsidRDefault="00490598">
      <w:pPr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:rsidR="00BD5D05" w:rsidRDefault="00BD5D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D5D05" w:rsidRDefault="00BD5D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D5D05" w:rsidRDefault="004905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Additional Information</w:t>
      </w:r>
    </w:p>
    <w:p w:rsidR="00BD5D05" w:rsidRDefault="0049059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You </w:t>
      </w:r>
      <w:proofErr w:type="gramStart"/>
      <w:r>
        <w:rPr>
          <w:rFonts w:ascii="Arial" w:eastAsia="Arial" w:hAnsi="Arial" w:cs="Arial"/>
          <w:sz w:val="22"/>
          <w:szCs w:val="22"/>
        </w:rPr>
        <w:t>are employed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in the capacity of a teacher subject to, and with the benefits of, the conditions of employment set out, or referred to, in your letter of appointment and statement of particulars.</w:t>
      </w:r>
    </w:p>
    <w:p w:rsidR="00BD5D05" w:rsidRDefault="00BD5D05">
      <w:pPr>
        <w:jc w:val="both"/>
        <w:rPr>
          <w:rFonts w:ascii="Arial" w:eastAsia="Arial" w:hAnsi="Arial" w:cs="Arial"/>
          <w:sz w:val="22"/>
          <w:szCs w:val="22"/>
        </w:rPr>
      </w:pPr>
    </w:p>
    <w:p w:rsidR="00BD5D05" w:rsidRDefault="0049059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This Job Description identifies the responsibilities attached to your post.  It is subject to the limits on working time set out in the current Teacher’s Pay and Conditions document. </w:t>
      </w:r>
    </w:p>
    <w:p w:rsidR="00BD5D05" w:rsidRDefault="00BD5D05">
      <w:pPr>
        <w:jc w:val="both"/>
        <w:rPr>
          <w:rFonts w:ascii="Arial" w:eastAsia="Arial" w:hAnsi="Arial" w:cs="Arial"/>
          <w:sz w:val="22"/>
          <w:szCs w:val="22"/>
        </w:rPr>
      </w:pPr>
    </w:p>
    <w:p w:rsidR="00BD5D05" w:rsidRDefault="0049059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Job Description is subject to amendment from time to time within t</w:t>
      </w:r>
      <w:r>
        <w:rPr>
          <w:rFonts w:ascii="Arial" w:eastAsia="Arial" w:hAnsi="Arial" w:cs="Arial"/>
          <w:sz w:val="22"/>
          <w:szCs w:val="22"/>
        </w:rPr>
        <w:t xml:space="preserve">he terms of your conditions of employment, as the needs of the school/service may require, but only to an extent consistent with those conditions of employment and only after consultation with you.  The agreed Grievance Procedures </w:t>
      </w:r>
      <w:proofErr w:type="gramStart"/>
      <w:r>
        <w:rPr>
          <w:rFonts w:ascii="Arial" w:eastAsia="Arial" w:hAnsi="Arial" w:cs="Arial"/>
          <w:sz w:val="22"/>
          <w:szCs w:val="22"/>
        </w:rPr>
        <w:t>may be invoked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in any dis</w:t>
      </w:r>
      <w:r>
        <w:rPr>
          <w:rFonts w:ascii="Arial" w:eastAsia="Arial" w:hAnsi="Arial" w:cs="Arial"/>
          <w:sz w:val="22"/>
          <w:szCs w:val="22"/>
        </w:rPr>
        <w:t>pute arising from this job description or subsequent amendment, in which case teachers are advised to consult their Professional Association.</w:t>
      </w:r>
    </w:p>
    <w:p w:rsidR="00BD5D05" w:rsidRDefault="00BD5D05">
      <w:pPr>
        <w:jc w:val="both"/>
        <w:rPr>
          <w:rFonts w:ascii="Arial" w:eastAsia="Arial" w:hAnsi="Arial" w:cs="Arial"/>
          <w:sz w:val="22"/>
          <w:szCs w:val="22"/>
        </w:rPr>
      </w:pPr>
    </w:p>
    <w:p w:rsidR="00BD5D05" w:rsidRDefault="0049059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school is committed to safeguarding and promoting the welfare of children and young people and expects all st</w:t>
      </w:r>
      <w:r>
        <w:rPr>
          <w:rFonts w:ascii="Arial" w:eastAsia="Arial" w:hAnsi="Arial" w:cs="Arial"/>
          <w:sz w:val="22"/>
          <w:szCs w:val="22"/>
        </w:rPr>
        <w:t>aff and volunteers to share this commitment. Successful candidates will undergo an enhanced DBS check, checks of references and employment history.</w:t>
      </w:r>
    </w:p>
    <w:p w:rsidR="00BD5D05" w:rsidRDefault="00BD5D05">
      <w:pPr>
        <w:jc w:val="both"/>
        <w:rPr>
          <w:rFonts w:ascii="Arial" w:eastAsia="Arial" w:hAnsi="Arial" w:cs="Arial"/>
          <w:sz w:val="22"/>
          <w:szCs w:val="22"/>
        </w:rPr>
      </w:pPr>
    </w:p>
    <w:p w:rsidR="00BD5D05" w:rsidRDefault="0049059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Signatories:</w:t>
      </w:r>
    </w:p>
    <w:p w:rsidR="00BD5D05" w:rsidRDefault="00BD5D05">
      <w:pPr>
        <w:rPr>
          <w:rFonts w:ascii="Arial" w:eastAsia="Arial" w:hAnsi="Arial" w:cs="Arial"/>
          <w:b/>
          <w:sz w:val="22"/>
          <w:szCs w:val="22"/>
        </w:rPr>
      </w:pPr>
    </w:p>
    <w:p w:rsidR="00BD5D05" w:rsidRDefault="0049059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(Both Headteacher and </w:t>
      </w:r>
      <w:proofErr w:type="spellStart"/>
      <w:r>
        <w:rPr>
          <w:rFonts w:ascii="Arial" w:eastAsia="Arial" w:hAnsi="Arial" w:cs="Arial"/>
          <w:sz w:val="22"/>
          <w:szCs w:val="22"/>
        </w:rPr>
        <w:t>postholder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are asked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to sign and date this Job Description following co</w:t>
      </w:r>
      <w:r>
        <w:rPr>
          <w:rFonts w:ascii="Arial" w:eastAsia="Arial" w:hAnsi="Arial" w:cs="Arial"/>
          <w:sz w:val="22"/>
          <w:szCs w:val="22"/>
        </w:rPr>
        <w:t>nsultation on its contents).</w:t>
      </w:r>
    </w:p>
    <w:p w:rsidR="00BD5D05" w:rsidRDefault="00BD5D05">
      <w:pPr>
        <w:rPr>
          <w:rFonts w:ascii="Arial" w:eastAsia="Arial" w:hAnsi="Arial" w:cs="Arial"/>
          <w:sz w:val="22"/>
          <w:szCs w:val="22"/>
        </w:rPr>
      </w:pPr>
    </w:p>
    <w:p w:rsidR="00BD5D05" w:rsidRDefault="00490598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Signed: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ab/>
        <w:t>Date: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  <w:t>__</w:t>
      </w:r>
    </w:p>
    <w:p w:rsidR="00BD5D05" w:rsidRDefault="0049059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(Post Holder)</w:t>
      </w:r>
    </w:p>
    <w:p w:rsidR="00BD5D05" w:rsidRDefault="0049059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BD5D05" w:rsidRDefault="00490598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Signed: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ab/>
        <w:t>Date: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  <w:t>__</w:t>
      </w:r>
    </w:p>
    <w:p w:rsidR="00BD5D05" w:rsidRDefault="00490598">
      <w:pPr>
        <w:rPr>
          <w:rFonts w:ascii="Arial" w:eastAsia="Arial" w:hAnsi="Arial" w:cs="Arial"/>
        </w:rPr>
        <w:sectPr w:rsidR="00BD5D05">
          <w:footerReference w:type="default" r:id="rId9"/>
          <w:pgSz w:w="16838" w:h="11906" w:orient="landscape"/>
          <w:pgMar w:top="1008" w:right="1008" w:bottom="1008" w:left="1008" w:header="706" w:footer="706" w:gutter="0"/>
          <w:pgNumType w:start="1"/>
          <w:cols w:space="720"/>
        </w:sectPr>
      </w:pPr>
      <w:r>
        <w:rPr>
          <w:rFonts w:ascii="Arial" w:eastAsia="Arial" w:hAnsi="Arial" w:cs="Arial"/>
          <w:sz w:val="22"/>
          <w:szCs w:val="22"/>
        </w:rPr>
        <w:t>(Headteacher)</w:t>
      </w:r>
    </w:p>
    <w:p w:rsidR="00BD5D05" w:rsidRDefault="00490598">
      <w:pPr>
        <w:tabs>
          <w:tab w:val="left" w:pos="432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FALINGE PARK HIGH SCHOOL</w:t>
      </w:r>
    </w:p>
    <w:p w:rsidR="00BD5D05" w:rsidRDefault="00BD5D05">
      <w:pPr>
        <w:rPr>
          <w:rFonts w:ascii="Arial" w:eastAsia="Arial" w:hAnsi="Arial" w:cs="Arial"/>
          <w:b/>
        </w:rPr>
      </w:pPr>
    </w:p>
    <w:p w:rsidR="00BD5D05" w:rsidRDefault="0049059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mallCaps/>
        </w:rPr>
        <w:t>Subject lead food</w:t>
      </w:r>
    </w:p>
    <w:tbl>
      <w:tblPr>
        <w:tblStyle w:val="a"/>
        <w:tblW w:w="15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5940"/>
        <w:gridCol w:w="3870"/>
        <w:gridCol w:w="3170"/>
      </w:tblGrid>
      <w:tr w:rsidR="00BD5D05">
        <w:trPr>
          <w:trHeight w:val="288"/>
        </w:trPr>
        <w:tc>
          <w:tcPr>
            <w:tcW w:w="2628" w:type="dxa"/>
            <w:shd w:val="clear" w:color="auto" w:fill="D9D9D9"/>
            <w:vAlign w:val="center"/>
          </w:tcPr>
          <w:p w:rsidR="00BD5D05" w:rsidRDefault="00490598">
            <w:pPr>
              <w:pStyle w:val="Heading1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ATTRIBUTES</w:t>
            </w:r>
          </w:p>
        </w:tc>
        <w:tc>
          <w:tcPr>
            <w:tcW w:w="5940" w:type="dxa"/>
            <w:shd w:val="clear" w:color="auto" w:fill="D9D9D9"/>
            <w:vAlign w:val="center"/>
          </w:tcPr>
          <w:p w:rsidR="00BD5D05" w:rsidRDefault="00490598">
            <w:pPr>
              <w:pStyle w:val="Heading1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ESSENTIAL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BD5D05" w:rsidRDefault="00490598">
            <w:pPr>
              <w:pStyle w:val="Heading1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DESIRABLE</w:t>
            </w:r>
          </w:p>
        </w:tc>
        <w:tc>
          <w:tcPr>
            <w:tcW w:w="3170" w:type="dxa"/>
            <w:shd w:val="clear" w:color="auto" w:fill="D9D9D9"/>
            <w:vAlign w:val="center"/>
          </w:tcPr>
          <w:p w:rsidR="00BD5D05" w:rsidRDefault="00490598">
            <w:pPr>
              <w:pStyle w:val="Heading1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HOW IDENTIFIED</w:t>
            </w:r>
          </w:p>
        </w:tc>
      </w:tr>
      <w:tr w:rsidR="00BD5D05">
        <w:tc>
          <w:tcPr>
            <w:tcW w:w="2628" w:type="dxa"/>
          </w:tcPr>
          <w:p w:rsidR="00BD5D05" w:rsidRDefault="00BD5D05">
            <w:pPr>
              <w:pStyle w:val="Heading1"/>
              <w:tabs>
                <w:tab w:val="left" w:pos="432"/>
              </w:tabs>
              <w:spacing w:after="0" w:line="240" w:lineRule="auto"/>
              <w:rPr>
                <w:rFonts w:ascii="Arial" w:eastAsia="Arial" w:hAnsi="Arial" w:cs="Arial"/>
                <w:b/>
                <w:smallCaps/>
              </w:rPr>
            </w:pPr>
          </w:p>
          <w:p w:rsidR="00BD5D05" w:rsidRDefault="00490598">
            <w:pPr>
              <w:pStyle w:val="Heading1"/>
              <w:tabs>
                <w:tab w:val="left" w:pos="432"/>
              </w:tabs>
              <w:spacing w:after="0" w:line="240" w:lineRule="auto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WORK RELATED EXPERIENCE AND SKILLS</w:t>
            </w:r>
          </w:p>
        </w:tc>
        <w:tc>
          <w:tcPr>
            <w:tcW w:w="5940" w:type="dxa"/>
          </w:tcPr>
          <w:p w:rsidR="00BD5D05" w:rsidRDefault="00BD5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  <w:p w:rsidR="00BD5D05" w:rsidRDefault="00490598">
            <w:pPr>
              <w:numPr>
                <w:ilvl w:val="0"/>
                <w:numId w:val="8"/>
              </w:numPr>
            </w:pPr>
            <w:r>
              <w:rPr>
                <w:rFonts w:ascii="Arial" w:eastAsia="Arial" w:hAnsi="Arial" w:cs="Arial"/>
              </w:rPr>
              <w:t>Evidence of positive impact at Middle Leader Level.</w:t>
            </w:r>
          </w:p>
          <w:p w:rsidR="00BD5D05" w:rsidRDefault="00490598">
            <w:pPr>
              <w:numPr>
                <w:ilvl w:val="0"/>
                <w:numId w:val="8"/>
              </w:numPr>
            </w:pPr>
            <w:r>
              <w:rPr>
                <w:rFonts w:ascii="Arial" w:eastAsia="Arial" w:hAnsi="Arial" w:cs="Arial"/>
              </w:rPr>
              <w:t xml:space="preserve">Evidence of successful teaching </w:t>
            </w:r>
            <w:proofErr w:type="gramStart"/>
            <w:r>
              <w:rPr>
                <w:rFonts w:ascii="Arial" w:eastAsia="Arial" w:hAnsi="Arial" w:cs="Arial"/>
              </w:rPr>
              <w:t>practice which</w:t>
            </w:r>
            <w:proofErr w:type="gramEnd"/>
            <w:r>
              <w:rPr>
                <w:rFonts w:ascii="Arial" w:eastAsia="Arial" w:hAnsi="Arial" w:cs="Arial"/>
              </w:rPr>
              <w:t xml:space="preserve"> demonstrates</w:t>
            </w:r>
            <w:r>
              <w:rPr>
                <w:rFonts w:ascii="Arial" w:eastAsia="Arial" w:hAnsi="Arial" w:cs="Arial"/>
              </w:rPr>
              <w:t xml:space="preserve"> positive outcomes for pupils.</w:t>
            </w:r>
          </w:p>
          <w:p w:rsidR="00BD5D05" w:rsidRDefault="00490598">
            <w:pPr>
              <w:numPr>
                <w:ilvl w:val="0"/>
                <w:numId w:val="8"/>
              </w:numPr>
            </w:pPr>
            <w:r>
              <w:rPr>
                <w:rFonts w:ascii="Arial" w:eastAsia="Arial" w:hAnsi="Arial" w:cs="Arial"/>
              </w:rPr>
              <w:t>Excellent relationship skills.</w:t>
            </w:r>
          </w:p>
          <w:p w:rsidR="00BD5D05" w:rsidRDefault="00490598">
            <w:pPr>
              <w:numPr>
                <w:ilvl w:val="0"/>
                <w:numId w:val="8"/>
              </w:numPr>
            </w:pPr>
            <w:r>
              <w:rPr>
                <w:rFonts w:ascii="Arial" w:eastAsia="Arial" w:hAnsi="Arial" w:cs="Arial"/>
              </w:rPr>
              <w:t>Excellent knowledge of effective curriculum design.</w:t>
            </w:r>
          </w:p>
          <w:p w:rsidR="00BD5D05" w:rsidRDefault="00BD5D05"/>
        </w:tc>
        <w:tc>
          <w:tcPr>
            <w:tcW w:w="3870" w:type="dxa"/>
          </w:tcPr>
          <w:p w:rsidR="00BD5D05" w:rsidRDefault="00BD5D05">
            <w:pPr>
              <w:ind w:left="360"/>
              <w:rPr>
                <w:rFonts w:ascii="Arial" w:eastAsia="Arial" w:hAnsi="Arial" w:cs="Arial"/>
              </w:rPr>
            </w:pPr>
          </w:p>
          <w:p w:rsidR="00BD5D05" w:rsidRDefault="00490598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Knowledge and practice of alternative qualifications.</w:t>
            </w:r>
          </w:p>
          <w:p w:rsidR="00BD5D05" w:rsidRDefault="00490598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Knowledge of evidence based interventions.</w:t>
            </w:r>
          </w:p>
          <w:p w:rsidR="00BD5D05" w:rsidRDefault="00BD5D05">
            <w:pPr>
              <w:ind w:left="360"/>
            </w:pPr>
          </w:p>
          <w:p w:rsidR="00BD5D05" w:rsidRDefault="00BD5D05"/>
        </w:tc>
        <w:tc>
          <w:tcPr>
            <w:tcW w:w="3170" w:type="dxa"/>
          </w:tcPr>
          <w:p w:rsidR="00BD5D05" w:rsidRDefault="00BD5D05">
            <w:pPr>
              <w:rPr>
                <w:rFonts w:ascii="Arial" w:eastAsia="Arial" w:hAnsi="Arial" w:cs="Arial"/>
              </w:rPr>
            </w:pPr>
          </w:p>
          <w:p w:rsidR="00BD5D05" w:rsidRDefault="004905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 Form/Letter</w:t>
            </w:r>
          </w:p>
          <w:p w:rsidR="00BD5D05" w:rsidRDefault="004905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  <w:p w:rsidR="00BD5D05" w:rsidRDefault="004905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References</w:t>
            </w:r>
          </w:p>
        </w:tc>
      </w:tr>
      <w:tr w:rsidR="00BD5D05">
        <w:tc>
          <w:tcPr>
            <w:tcW w:w="2628" w:type="dxa"/>
          </w:tcPr>
          <w:p w:rsidR="00BD5D05" w:rsidRDefault="00BD5D05">
            <w:pPr>
              <w:pStyle w:val="Heading1"/>
              <w:tabs>
                <w:tab w:val="left" w:pos="432"/>
              </w:tabs>
              <w:spacing w:after="0" w:line="240" w:lineRule="auto"/>
              <w:rPr>
                <w:rFonts w:ascii="Arial" w:eastAsia="Arial" w:hAnsi="Arial" w:cs="Arial"/>
                <w:b/>
                <w:smallCaps/>
              </w:rPr>
            </w:pPr>
          </w:p>
          <w:p w:rsidR="00BD5D05" w:rsidRDefault="00490598">
            <w:pPr>
              <w:pStyle w:val="Heading1"/>
              <w:tabs>
                <w:tab w:val="left" w:pos="432"/>
              </w:tabs>
              <w:spacing w:after="0" w:line="240" w:lineRule="auto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QUALIFICATIONS</w:t>
            </w:r>
          </w:p>
        </w:tc>
        <w:tc>
          <w:tcPr>
            <w:tcW w:w="5940" w:type="dxa"/>
          </w:tcPr>
          <w:p w:rsidR="00BD5D05" w:rsidRDefault="00BD5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  <w:p w:rsidR="00BD5D05" w:rsidRDefault="0049059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Degree</w:t>
            </w:r>
          </w:p>
          <w:p w:rsidR="00BD5D05" w:rsidRDefault="0049059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Qualified Teacher Status</w:t>
            </w:r>
          </w:p>
          <w:p w:rsidR="00BD5D05" w:rsidRDefault="0049059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willingness of commitment to professional development.</w:t>
            </w:r>
          </w:p>
        </w:tc>
        <w:tc>
          <w:tcPr>
            <w:tcW w:w="3870" w:type="dxa"/>
          </w:tcPr>
          <w:p w:rsidR="00BD5D05" w:rsidRDefault="00BD5D05">
            <w:pPr>
              <w:ind w:left="360"/>
              <w:rPr>
                <w:rFonts w:ascii="Arial" w:eastAsia="Arial" w:hAnsi="Arial" w:cs="Arial"/>
              </w:rPr>
            </w:pPr>
          </w:p>
          <w:p w:rsidR="00BD5D05" w:rsidRDefault="004905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Evidence of commitment to professional development i.e. NPQs</w:t>
            </w:r>
          </w:p>
        </w:tc>
        <w:tc>
          <w:tcPr>
            <w:tcW w:w="3170" w:type="dxa"/>
          </w:tcPr>
          <w:p w:rsidR="00BD5D05" w:rsidRDefault="00BD5D05">
            <w:pPr>
              <w:tabs>
                <w:tab w:val="left" w:pos="432"/>
              </w:tabs>
              <w:rPr>
                <w:rFonts w:ascii="Arial" w:eastAsia="Arial" w:hAnsi="Arial" w:cs="Arial"/>
              </w:rPr>
            </w:pPr>
          </w:p>
          <w:p w:rsidR="00BD5D05" w:rsidRDefault="00490598">
            <w:pPr>
              <w:tabs>
                <w:tab w:val="left" w:pos="43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 Form</w:t>
            </w:r>
          </w:p>
          <w:p w:rsidR="00BD5D05" w:rsidRDefault="00490598">
            <w:pPr>
              <w:tabs>
                <w:tab w:val="left" w:pos="43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Qualifications</w:t>
            </w:r>
          </w:p>
          <w:p w:rsidR="00BD5D05" w:rsidRDefault="00BD5D05">
            <w:pPr>
              <w:tabs>
                <w:tab w:val="left" w:pos="432"/>
              </w:tabs>
              <w:rPr>
                <w:rFonts w:ascii="Arial" w:eastAsia="Arial" w:hAnsi="Arial" w:cs="Arial"/>
              </w:rPr>
            </w:pPr>
          </w:p>
        </w:tc>
      </w:tr>
      <w:tr w:rsidR="00BD5D05">
        <w:tc>
          <w:tcPr>
            <w:tcW w:w="2628" w:type="dxa"/>
          </w:tcPr>
          <w:p w:rsidR="00BD5D05" w:rsidRDefault="00BD5D05">
            <w:pPr>
              <w:pStyle w:val="Heading1"/>
              <w:tabs>
                <w:tab w:val="left" w:pos="432"/>
              </w:tabs>
              <w:spacing w:after="0" w:line="240" w:lineRule="auto"/>
              <w:rPr>
                <w:rFonts w:ascii="Arial" w:eastAsia="Arial" w:hAnsi="Arial" w:cs="Arial"/>
                <w:b/>
                <w:smallCaps/>
              </w:rPr>
            </w:pPr>
          </w:p>
          <w:p w:rsidR="00BD5D05" w:rsidRDefault="00490598">
            <w:pPr>
              <w:pStyle w:val="Heading1"/>
              <w:tabs>
                <w:tab w:val="left" w:pos="432"/>
              </w:tabs>
              <w:spacing w:after="0" w:line="240" w:lineRule="auto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SPECIALIST SKILLS AND KNOWLEDGE</w:t>
            </w:r>
          </w:p>
        </w:tc>
        <w:tc>
          <w:tcPr>
            <w:tcW w:w="5940" w:type="dxa"/>
          </w:tcPr>
          <w:p w:rsidR="00BD5D05" w:rsidRDefault="0049059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Understanding of effective curriculum and assessment design.</w:t>
            </w:r>
          </w:p>
          <w:p w:rsidR="00BD5D05" w:rsidRDefault="0049059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Understanding of and excellent practice of teaching and learning within their subject discipline.</w:t>
            </w:r>
          </w:p>
          <w:p w:rsidR="00BD5D05" w:rsidRDefault="00BD5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70" w:type="dxa"/>
          </w:tcPr>
          <w:p w:rsidR="00BD5D05" w:rsidRDefault="0049059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Wider school experience.</w:t>
            </w:r>
          </w:p>
        </w:tc>
        <w:tc>
          <w:tcPr>
            <w:tcW w:w="3170" w:type="dxa"/>
          </w:tcPr>
          <w:p w:rsidR="00BD5D05" w:rsidRDefault="00BD5D05">
            <w:pPr>
              <w:rPr>
                <w:rFonts w:ascii="Arial" w:eastAsia="Arial" w:hAnsi="Arial" w:cs="Arial"/>
              </w:rPr>
            </w:pPr>
          </w:p>
          <w:p w:rsidR="00BD5D05" w:rsidRDefault="004905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 Form/Letter</w:t>
            </w:r>
          </w:p>
          <w:p w:rsidR="00BD5D05" w:rsidRDefault="004905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  <w:p w:rsidR="00BD5D05" w:rsidRDefault="004905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References</w:t>
            </w:r>
          </w:p>
          <w:p w:rsidR="00BD5D05" w:rsidRDefault="00BD5D05">
            <w:pPr>
              <w:rPr>
                <w:rFonts w:ascii="Arial" w:eastAsia="Arial" w:hAnsi="Arial" w:cs="Arial"/>
              </w:rPr>
            </w:pPr>
          </w:p>
        </w:tc>
      </w:tr>
    </w:tbl>
    <w:p w:rsidR="00BD5D05" w:rsidRDefault="00BD5D05">
      <w:pPr>
        <w:jc w:val="right"/>
        <w:rPr>
          <w:rFonts w:ascii="Arial" w:eastAsia="Arial" w:hAnsi="Arial" w:cs="Arial"/>
          <w:sz w:val="16"/>
          <w:szCs w:val="16"/>
        </w:rPr>
      </w:pPr>
    </w:p>
    <w:p w:rsidR="00BD5D05" w:rsidRDefault="00BD5D05"/>
    <w:sectPr w:rsidR="00BD5D05">
      <w:pgSz w:w="16838" w:h="11906" w:orient="landscape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0598">
      <w:r>
        <w:separator/>
      </w:r>
    </w:p>
  </w:endnote>
  <w:endnote w:type="continuationSeparator" w:id="0">
    <w:p w:rsidR="00000000" w:rsidRDefault="0049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D05" w:rsidRDefault="004905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0598">
      <w:r>
        <w:separator/>
      </w:r>
    </w:p>
  </w:footnote>
  <w:footnote w:type="continuationSeparator" w:id="0">
    <w:p w:rsidR="00000000" w:rsidRDefault="0049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7BB"/>
    <w:multiLevelType w:val="multilevel"/>
    <w:tmpl w:val="2E5C0B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4C3CDC"/>
    <w:multiLevelType w:val="multilevel"/>
    <w:tmpl w:val="F946B368"/>
    <w:lvl w:ilvl="0">
      <w:start w:val="1"/>
      <w:numFmt w:val="bullet"/>
      <w:lvlText w:val="●"/>
      <w:lvlJc w:val="left"/>
      <w:pPr>
        <w:ind w:left="288" w:hanging="288"/>
      </w:pPr>
      <w:rPr>
        <w:rFonts w:ascii="Noto Sans Symbols" w:eastAsia="Noto Sans Symbols" w:hAnsi="Noto Sans Symbols" w:cs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EA420C"/>
    <w:multiLevelType w:val="multilevel"/>
    <w:tmpl w:val="FC6443C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sz w:val="12"/>
        <w:szCs w:val="1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7DD326C"/>
    <w:multiLevelType w:val="multilevel"/>
    <w:tmpl w:val="1BF25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EF18D8"/>
    <w:multiLevelType w:val="multilevel"/>
    <w:tmpl w:val="92BA86E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sz w:val="12"/>
        <w:szCs w:val="1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6115FBA"/>
    <w:multiLevelType w:val="multilevel"/>
    <w:tmpl w:val="7910B7A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486B2B"/>
    <w:multiLevelType w:val="multilevel"/>
    <w:tmpl w:val="2C80B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6534FD2"/>
    <w:multiLevelType w:val="multilevel"/>
    <w:tmpl w:val="C7D00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B2D35"/>
    <w:multiLevelType w:val="multilevel"/>
    <w:tmpl w:val="E986510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sz w:val="12"/>
        <w:szCs w:val="1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05"/>
    <w:rsid w:val="00490598"/>
    <w:rsid w:val="00B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3EBDC-51E1-437A-9019-5520E955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9C3"/>
  </w:style>
  <w:style w:type="paragraph" w:styleId="Heading1">
    <w:name w:val="heading 1"/>
    <w:basedOn w:val="Normal"/>
    <w:next w:val="BodyText"/>
    <w:link w:val="Heading1Char"/>
    <w:qFormat/>
    <w:rsid w:val="001349C3"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1349C3"/>
    <w:rPr>
      <w:rFonts w:ascii="Arial Black" w:eastAsia="Times New Roman" w:hAnsi="Arial Black" w:cs="Times New Roman"/>
      <w:spacing w:val="-10"/>
      <w:kern w:val="20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1349C3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1349C3"/>
    <w:rPr>
      <w:rFonts w:ascii="Arial" w:eastAsia="Times New Roman" w:hAnsi="Arial" w:cs="Times New Roman"/>
      <w:spacing w:val="-5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49C3"/>
    <w:pPr>
      <w:ind w:left="720"/>
    </w:pPr>
  </w:style>
  <w:style w:type="paragraph" w:styleId="Footer">
    <w:name w:val="footer"/>
    <w:basedOn w:val="Normal"/>
    <w:link w:val="FooterChar"/>
    <w:rsid w:val="00134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49C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4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9C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70320C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320C"/>
    <w:rPr>
      <w:rFonts w:eastAsiaTheme="minorEastAsia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Y8py9Z+7qgPgU8nMUxJTnQ/8qA==">AMUW2mXLx9WNPTHGAd+gHANMJkXeAWnfNBEQeH7z+Gx9KajJYu8S67UGMJRk9zGAvN4hXWEU/BWL62IhFEkHrmrfZ8nS22o6nCbYRR4uFvO3Kc3ScBFgbQAwrmahnUWJAiLhpLQakx6k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Allen</dc:creator>
  <cp:lastModifiedBy>L Fitton</cp:lastModifiedBy>
  <cp:revision>2</cp:revision>
  <dcterms:created xsi:type="dcterms:W3CDTF">2023-01-16T12:19:00Z</dcterms:created>
  <dcterms:modified xsi:type="dcterms:W3CDTF">2023-01-16T12:19:00Z</dcterms:modified>
</cp:coreProperties>
</file>