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F0ED864">
        <w:tc>
          <w:tcPr>
            <w:tcW w:w="10683" w:type="dxa"/>
            <w:shd w:val="clear" w:color="auto" w:fill="D9D9D9" w:themeFill="background1" w:themeFillShade="D9"/>
          </w:tcPr>
          <w:p w14:paraId="4D077B97" w14:textId="723CC90E" w:rsidR="00257220" w:rsidRPr="00DD7113" w:rsidRDefault="00AC328C" w:rsidP="00257220">
            <w:pPr>
              <w:pStyle w:val="NormalWeb"/>
              <w:tabs>
                <w:tab w:val="left" w:pos="3969"/>
              </w:tabs>
              <w:spacing w:before="120" w:beforeAutospacing="0" w:after="0" w:afterAutospacing="0"/>
              <w:rPr>
                <w:rFonts w:asciiTheme="minorHAnsi" w:hAnsiTheme="minorHAnsi" w:cstheme="minorBidi"/>
                <w:b/>
                <w:bCs/>
                <w:sz w:val="22"/>
                <w:szCs w:val="22"/>
              </w:rPr>
            </w:pPr>
            <w:r w:rsidRPr="7F0ED864">
              <w:rPr>
                <w:rFonts w:asciiTheme="minorHAnsi" w:hAnsiTheme="minorHAnsi" w:cstheme="minorBidi"/>
                <w:b/>
                <w:bCs/>
              </w:rPr>
              <w:t xml:space="preserve">APPLICATION </w:t>
            </w:r>
            <w:r w:rsidR="00BB5BF5">
              <w:rPr>
                <w:rFonts w:asciiTheme="minorHAnsi" w:hAnsiTheme="minorHAnsi" w:cstheme="minorBidi"/>
                <w:b/>
                <w:bCs/>
              </w:rPr>
              <w:t>F</w:t>
            </w:r>
            <w:r w:rsidRPr="7F0ED864">
              <w:rPr>
                <w:rFonts w:asciiTheme="minorHAnsi" w:hAnsiTheme="minorHAnsi" w:cstheme="minorBidi"/>
                <w:b/>
                <w:bCs/>
              </w:rPr>
              <w:t>OR POST OF:</w:t>
            </w:r>
            <w:r w:rsidR="00127B31">
              <w:rPr>
                <w:rFonts w:asciiTheme="minorHAnsi" w:hAnsiTheme="minorHAnsi" w:cstheme="minorBidi"/>
                <w:b/>
                <w:bCs/>
              </w:rPr>
              <w:t xml:space="preserve">    </w:t>
            </w:r>
            <w:r w:rsidR="0016342F">
              <w:rPr>
                <w:rFonts w:asciiTheme="minorHAnsi" w:hAnsiTheme="minorHAnsi" w:cstheme="minorBidi"/>
                <w:b/>
                <w:bCs/>
              </w:rPr>
              <w:t xml:space="preserve">Subject Leader of </w:t>
            </w:r>
            <w:r w:rsidR="004A1B19">
              <w:rPr>
                <w:rFonts w:asciiTheme="minorHAnsi" w:hAnsiTheme="minorHAnsi" w:cstheme="minorBidi"/>
                <w:b/>
                <w:bCs/>
              </w:rPr>
              <w:t>Chemistry</w:t>
            </w:r>
            <w:bookmarkStart w:id="0" w:name="_GoBack"/>
            <w:bookmarkEnd w:id="0"/>
            <w:r w:rsidR="00127B31">
              <w:rPr>
                <w:rFonts w:asciiTheme="minorHAnsi" w:hAnsiTheme="minorHAnsi" w:cstheme="minorBidi"/>
                <w:b/>
                <w:bCs/>
              </w:rPr>
              <w:t xml:space="preserve">         </w:t>
            </w:r>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20A066F5" w14:textId="77777777" w:rsidR="0016342F" w:rsidRPr="003B30AD" w:rsidRDefault="0016342F" w:rsidP="0016342F">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Please return to:</w:t>
            </w:r>
            <w:r>
              <w:rPr>
                <w:rFonts w:asciiTheme="minorHAnsi" w:hAnsiTheme="minorHAnsi" w:cstheme="minorBidi"/>
                <w:b/>
                <w:bCs/>
              </w:rPr>
              <w:t xml:space="preserve">                  </w:t>
            </w:r>
            <w:r w:rsidRPr="003B30AD">
              <w:rPr>
                <w:rFonts w:asciiTheme="minorHAnsi" w:hAnsiTheme="minorHAnsi" w:cstheme="minorBidi"/>
                <w:b/>
                <w:bCs/>
                <w:sz w:val="22"/>
                <w:szCs w:val="22"/>
              </w:rPr>
              <w:t>Bishop Justus Church of England School, Magpie Hall Lane, Bromley,</w:t>
            </w:r>
            <w:r>
              <w:rPr>
                <w:rFonts w:asciiTheme="minorHAnsi" w:hAnsiTheme="minorHAnsi" w:cstheme="minorBidi"/>
                <w:b/>
                <w:bCs/>
                <w:sz w:val="22"/>
                <w:szCs w:val="22"/>
              </w:rPr>
              <w:t xml:space="preserve"> Kent, </w:t>
            </w:r>
            <w:r w:rsidRPr="003B30AD">
              <w:rPr>
                <w:rFonts w:asciiTheme="minorHAnsi" w:hAnsiTheme="minorHAnsi" w:cstheme="minorBidi"/>
                <w:b/>
                <w:bCs/>
                <w:sz w:val="22"/>
                <w:szCs w:val="22"/>
              </w:rPr>
              <w:t>B</w:t>
            </w:r>
            <w:r>
              <w:rPr>
                <w:rFonts w:asciiTheme="minorHAnsi" w:hAnsiTheme="minorHAnsi" w:cstheme="minorBidi"/>
                <w:b/>
                <w:bCs/>
                <w:sz w:val="22"/>
                <w:szCs w:val="22"/>
              </w:rPr>
              <w:t>R</w:t>
            </w:r>
            <w:r w:rsidRPr="003B30AD">
              <w:rPr>
                <w:rFonts w:asciiTheme="minorHAnsi" w:hAnsiTheme="minorHAnsi" w:cstheme="minorBidi"/>
                <w:b/>
                <w:bCs/>
                <w:sz w:val="22"/>
                <w:szCs w:val="22"/>
              </w:rPr>
              <w:t>2 8HZ</w:t>
            </w: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7654899C" w14:textId="64AE6531" w:rsidR="0016342F"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hyperlink r:id="rId9" w:history="1">
              <w:r w:rsidR="0016342F" w:rsidRPr="00C3677D">
                <w:rPr>
                  <w:rStyle w:val="Hyperlink"/>
                  <w:rFonts w:asciiTheme="minorHAnsi" w:hAnsiTheme="minorHAnsi" w:cstheme="minorBidi"/>
                  <w:b/>
                  <w:bCs/>
                  <w:sz w:val="22"/>
                  <w:szCs w:val="22"/>
                </w:rPr>
                <w:t>recruitment@bishopjustus.bromley.sch.uk</w:t>
              </w:r>
            </w:hyperlink>
          </w:p>
          <w:p w14:paraId="5A39BBE3" w14:textId="449A8106" w:rsidR="00AC328C" w:rsidRPr="00384FD7" w:rsidRDefault="591019E6"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                                                 </w:t>
            </w: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w:t>
            </w:r>
            <w:proofErr w:type="spellStart"/>
            <w:r w:rsidRPr="00437F8A">
              <w:rPr>
                <w:rFonts w:ascii="Calibri" w:hAnsi="Calibri" w:cs="Tahoma"/>
                <w:sz w:val="22"/>
                <w:szCs w:val="22"/>
              </w:rPr>
              <w:t>Mr</w:t>
            </w:r>
            <w:proofErr w:type="spellEnd"/>
            <w:r w:rsidRPr="00437F8A">
              <w:rPr>
                <w:rFonts w:ascii="Calibri" w:hAnsi="Calibri" w:cs="Tahoma"/>
                <w:sz w:val="22"/>
                <w:szCs w:val="22"/>
              </w:rPr>
              <w:t>/</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 xml:space="preserve">(NB </w:t>
            </w:r>
            <w:proofErr w:type="gramStart"/>
            <w:r w:rsidRPr="00437F8A">
              <w:rPr>
                <w:rFonts w:ascii="Calibri" w:hAnsi="Calibri" w:cs="Tahoma"/>
                <w:sz w:val="22"/>
                <w:szCs w:val="22"/>
              </w:rPr>
              <w:t>The</w:t>
            </w:r>
            <w:proofErr w:type="gramEnd"/>
            <w:r w:rsidRPr="00437F8A">
              <w:rPr>
                <w:rFonts w:ascii="Calibri" w:hAnsi="Calibri" w:cs="Tahoma"/>
                <w:sz w:val="22"/>
                <w:szCs w:val="22"/>
              </w:rPr>
              <w:t xml:space="preserv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9"/>
        <w:gridCol w:w="2917"/>
        <w:gridCol w:w="1352"/>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18"/>
        <w:gridCol w:w="1352"/>
        <w:gridCol w:w="786"/>
        <w:gridCol w:w="2010"/>
        <w:gridCol w:w="1638"/>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660BC29D"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proofErr w:type="gramStart"/>
            <w:r w:rsidRPr="00DD7113">
              <w:rPr>
                <w:rFonts w:ascii="Calibri" w:hAnsi="Calibri" w:cs="Tahoma"/>
                <w:b/>
                <w:bCs/>
                <w:sz w:val="20"/>
                <w:szCs w:val="20"/>
              </w:rPr>
              <w:t xml:space="preserve">From  </w:t>
            </w:r>
            <w:r w:rsidR="00DD7113">
              <w:rPr>
                <w:rFonts w:ascii="Calibri" w:hAnsi="Calibri" w:cs="Tahoma"/>
                <w:b/>
                <w:bCs/>
                <w:sz w:val="20"/>
                <w:szCs w:val="20"/>
              </w:rPr>
              <w:t>and</w:t>
            </w:r>
            <w:proofErr w:type="gramEnd"/>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2FDA074A" w:rsidR="00DD7113" w:rsidRPr="00DD7113" w:rsidRDefault="001B6ABF" w:rsidP="00DD7113">
            <w:pPr>
              <w:spacing w:before="120"/>
              <w:rPr>
                <w:rFonts w:ascii="Calibri" w:hAnsi="Calibri"/>
                <w:b/>
                <w:sz w:val="24"/>
              </w:rPr>
            </w:pPr>
            <w:r w:rsidRPr="00DD7113">
              <w:rPr>
                <w:rFonts w:ascii="Calibri" w:hAnsi="Calibri"/>
                <w:b/>
                <w:sz w:val="24"/>
              </w:rPr>
              <w:t>OTHER EMPLOYMENT: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lastRenderedPageBreak/>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0DA123B1" w14:textId="77777777" w:rsidR="00F9287E" w:rsidRDefault="00F9287E" w:rsidP="007D6C51">
            <w:pPr>
              <w:rPr>
                <w:rFonts w:ascii="Calibri" w:hAnsi="Calibri"/>
                <w:b/>
                <w:sz w:val="22"/>
              </w:rPr>
            </w:pPr>
          </w:p>
          <w:p w14:paraId="4C4CEA3D" w14:textId="77777777" w:rsidR="00F9287E" w:rsidRDefault="00F9287E" w:rsidP="007D6C51">
            <w:pPr>
              <w:rPr>
                <w:rFonts w:ascii="Calibri" w:hAnsi="Calibri"/>
                <w:b/>
                <w:sz w:val="22"/>
              </w:rPr>
            </w:pPr>
          </w:p>
          <w:p w14:paraId="50895670" w14:textId="77777777" w:rsidR="00F9287E" w:rsidRDefault="00F9287E" w:rsidP="007D6C51">
            <w:pPr>
              <w:rPr>
                <w:rFonts w:ascii="Calibri" w:hAnsi="Calibri"/>
                <w:b/>
                <w:sz w:val="22"/>
              </w:rPr>
            </w:pPr>
          </w:p>
          <w:p w14:paraId="38C1F859" w14:textId="77777777" w:rsidR="00F9287E" w:rsidRDefault="00F9287E" w:rsidP="007D6C51">
            <w:pPr>
              <w:rPr>
                <w:rFonts w:ascii="Calibri" w:hAnsi="Calibri"/>
                <w:b/>
                <w:sz w:val="22"/>
              </w:rPr>
            </w:pPr>
          </w:p>
          <w:p w14:paraId="0C8FE7CE" w14:textId="77777777" w:rsidR="00F9287E" w:rsidRDefault="00F9287E" w:rsidP="007D6C51">
            <w:pPr>
              <w:rPr>
                <w:rFonts w:ascii="Calibri" w:hAnsi="Calibri"/>
                <w:b/>
                <w:sz w:val="22"/>
              </w:rPr>
            </w:pPr>
          </w:p>
          <w:p w14:paraId="41004F19" w14:textId="77777777" w:rsidR="00F9287E" w:rsidRDefault="00F9287E" w:rsidP="007D6C51">
            <w:pPr>
              <w:rPr>
                <w:rFonts w:ascii="Calibri" w:hAnsi="Calibri"/>
                <w:b/>
                <w:sz w:val="22"/>
              </w:rPr>
            </w:pPr>
          </w:p>
          <w:p w14:paraId="67C0C651" w14:textId="77777777" w:rsidR="00F9287E" w:rsidRDefault="00F9287E" w:rsidP="007D6C51">
            <w:pPr>
              <w:rPr>
                <w:rFonts w:ascii="Calibri" w:hAnsi="Calibri"/>
                <w:b/>
                <w:sz w:val="22"/>
              </w:rPr>
            </w:pPr>
          </w:p>
          <w:p w14:paraId="308D56CC" w14:textId="77777777" w:rsidR="00F9287E" w:rsidRDefault="00F9287E" w:rsidP="007D6C51">
            <w:pPr>
              <w:rPr>
                <w:rFonts w:ascii="Calibri" w:hAnsi="Calibri"/>
                <w:b/>
                <w:sz w:val="22"/>
              </w:rPr>
            </w:pPr>
          </w:p>
          <w:p w14:paraId="797E50C6" w14:textId="77777777" w:rsidR="00F9287E" w:rsidRDefault="00F9287E" w:rsidP="007D6C51">
            <w:pPr>
              <w:rPr>
                <w:rFonts w:ascii="Calibri" w:hAnsi="Calibri"/>
                <w:b/>
                <w:sz w:val="22"/>
              </w:rPr>
            </w:pPr>
          </w:p>
          <w:p w14:paraId="7B04FA47" w14:textId="77777777" w:rsidR="00F9287E" w:rsidRDefault="00F9287E" w:rsidP="007D6C51">
            <w:pPr>
              <w:rPr>
                <w:rFonts w:ascii="Calibri" w:hAnsi="Calibri"/>
                <w:b/>
                <w:sz w:val="22"/>
              </w:rPr>
            </w:pPr>
          </w:p>
          <w:p w14:paraId="568C698B" w14:textId="77777777" w:rsidR="00F9287E" w:rsidRDefault="00F9287E" w:rsidP="007D6C51">
            <w:pPr>
              <w:rPr>
                <w:rFonts w:ascii="Calibri" w:hAnsi="Calibri"/>
                <w:b/>
                <w:sz w:val="22"/>
              </w:rPr>
            </w:pPr>
          </w:p>
          <w:p w14:paraId="1A939487" w14:textId="77777777" w:rsidR="004910FB" w:rsidRDefault="004910FB"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77777777"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proofErr w:type="gramStart"/>
            <w:r>
              <w:rPr>
                <w:rFonts w:ascii="Calibri" w:hAnsi="Calibri" w:cs="Calibri"/>
                <w:color w:val="242424"/>
                <w:sz w:val="22"/>
                <w:szCs w:val="22"/>
                <w:shd w:val="clear" w:color="auto" w:fill="FFFFFF"/>
              </w:rPr>
              <w:t>asked</w:t>
            </w:r>
            <w:proofErr w:type="gramEnd"/>
            <w:r>
              <w:rPr>
                <w:rFonts w:ascii="Calibri" w:hAnsi="Calibri" w:cs="Calibri"/>
                <w:color w:val="242424"/>
                <w:sz w:val="22"/>
                <w:szCs w:val="22"/>
                <w:shd w:val="clear" w:color="auto" w:fill="FFFFFF"/>
              </w:rPr>
              <w:t xml:space="preserve">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08DED90B"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77777777"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Pr="00246EE4"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 xml:space="preserve">Do you consider your ethnic origin to </w:t>
            </w:r>
            <w:proofErr w:type="gramStart"/>
            <w:r w:rsidRPr="00F445B7">
              <w:rPr>
                <w:rFonts w:ascii="Calibri" w:hAnsi="Calibri" w:cs="Arial"/>
                <w:sz w:val="22"/>
              </w:rPr>
              <w:t>be:</w:t>
            </w:r>
            <w:proofErr w:type="gramEnd"/>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 xml:space="preserve">Do you consider yourself to have a </w:t>
            </w:r>
            <w:proofErr w:type="gramStart"/>
            <w:r w:rsidRPr="00F445B7">
              <w:rPr>
                <w:rFonts w:ascii="Calibri" w:hAnsi="Calibri" w:cs="Arial"/>
              </w:rPr>
              <w:t>disability:</w:t>
            </w:r>
            <w:proofErr w:type="gramEnd"/>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575B0"/>
    <w:rsid w:val="00073ECD"/>
    <w:rsid w:val="000830B0"/>
    <w:rsid w:val="000953A7"/>
    <w:rsid w:val="000A16B3"/>
    <w:rsid w:val="000C596D"/>
    <w:rsid w:val="000E1FFE"/>
    <w:rsid w:val="000E2A93"/>
    <w:rsid w:val="000F5585"/>
    <w:rsid w:val="001105A7"/>
    <w:rsid w:val="00127B31"/>
    <w:rsid w:val="00137B65"/>
    <w:rsid w:val="001414D6"/>
    <w:rsid w:val="0016342F"/>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A1B19"/>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D3861"/>
    <w:rsid w:val="006F7001"/>
    <w:rsid w:val="007046BB"/>
    <w:rsid w:val="007159C1"/>
    <w:rsid w:val="007519D3"/>
    <w:rsid w:val="007721B3"/>
    <w:rsid w:val="007A122C"/>
    <w:rsid w:val="007A31FF"/>
    <w:rsid w:val="007A5ED3"/>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926D2"/>
    <w:rsid w:val="0089351B"/>
    <w:rsid w:val="008A2369"/>
    <w:rsid w:val="008A3EC6"/>
    <w:rsid w:val="008C413C"/>
    <w:rsid w:val="008D57AC"/>
    <w:rsid w:val="008F65C7"/>
    <w:rsid w:val="009172E9"/>
    <w:rsid w:val="0091774F"/>
    <w:rsid w:val="009265E7"/>
    <w:rsid w:val="00940621"/>
    <w:rsid w:val="00940FDB"/>
    <w:rsid w:val="00970950"/>
    <w:rsid w:val="009878B5"/>
    <w:rsid w:val="00992311"/>
    <w:rsid w:val="009A61BD"/>
    <w:rsid w:val="009E5AD2"/>
    <w:rsid w:val="009E5B47"/>
    <w:rsid w:val="00A316E4"/>
    <w:rsid w:val="00A423BD"/>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C29B7"/>
    <w:rsid w:val="00CC4A58"/>
    <w:rsid w:val="00D04FD1"/>
    <w:rsid w:val="00D06B88"/>
    <w:rsid w:val="00D13C2A"/>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318F3"/>
    <w:rsid w:val="00F33240"/>
    <w:rsid w:val="00F445B7"/>
    <w:rsid w:val="00F54954"/>
    <w:rsid w:val="00F71713"/>
    <w:rsid w:val="00F74043"/>
    <w:rsid w:val="00F9287E"/>
    <w:rsid w:val="00FB1072"/>
    <w:rsid w:val="00FB76AC"/>
    <w:rsid w:val="00FC1731"/>
    <w:rsid w:val="00FC5291"/>
    <w:rsid w:val="00FC62EB"/>
    <w:rsid w:val="00FE134C"/>
    <w:rsid w:val="084BCCB9"/>
    <w:rsid w:val="18CB414A"/>
    <w:rsid w:val="1915A63B"/>
    <w:rsid w:val="40C312D1"/>
    <w:rsid w:val="591019E6"/>
    <w:rsid w:val="6D74ACA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794-5807-467B-8B90-19DA649FF4ED}">
  <ds:schemaRefs>
    <ds:schemaRef ds:uri="39ad4398-66b2-45c7-ac0e-fa4f7370e3ac"/>
    <ds:schemaRef ds:uri="http://schemas.microsoft.com/office/2006/metadata/properties"/>
    <ds:schemaRef ds:uri="http://schemas.microsoft.com/office/2006/documentManagement/types"/>
    <ds:schemaRef ds:uri="f780d460-6d00-4210-9def-4778fa8e522f"/>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AF225-66BB-406E-89F8-32215A37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2399</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2024-05-13T09:57:00Z</dcterms:created>
  <dcterms:modified xsi:type="dcterms:W3CDTF">2024-05-13T09:57:00Z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