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12" w:rsidRDefault="00AD59DD" w:rsidP="00563765">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-518160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362"/>
      </w:tblGrid>
      <w:tr w:rsidR="00563765" w:rsidRPr="005F722B" w:rsidTr="00E02357">
        <w:trPr>
          <w:trHeight w:val="567"/>
        </w:trPr>
        <w:tc>
          <w:tcPr>
            <w:tcW w:w="1177" w:type="pct"/>
            <w:vAlign w:val="center"/>
          </w:tcPr>
          <w:p w:rsidR="00563765" w:rsidRPr="00782815" w:rsidRDefault="00563765" w:rsidP="003D0A51">
            <w:pPr>
              <w:spacing w:after="0" w:line="240" w:lineRule="auto"/>
              <w:rPr>
                <w:b/>
              </w:rPr>
            </w:pPr>
            <w:r>
              <w:rPr>
                <w:b/>
              </w:rPr>
              <w:t>School</w:t>
            </w:r>
            <w:r w:rsidRPr="00782815">
              <w:rPr>
                <w:b/>
              </w:rPr>
              <w:t>:</w:t>
            </w:r>
          </w:p>
        </w:tc>
        <w:tc>
          <w:tcPr>
            <w:tcW w:w="3823" w:type="pct"/>
            <w:shd w:val="clear" w:color="auto" w:fill="auto"/>
            <w:vAlign w:val="center"/>
          </w:tcPr>
          <w:p w:rsidR="00563765" w:rsidRPr="00914B12" w:rsidRDefault="00891CC6" w:rsidP="003D0A51">
            <w:pPr>
              <w:tabs>
                <w:tab w:val="left" w:pos="631"/>
              </w:tabs>
              <w:spacing w:after="0" w:line="240" w:lineRule="auto"/>
              <w:rPr>
                <w:rFonts w:cs="Arial"/>
                <w:b/>
              </w:rPr>
            </w:pPr>
            <w:r w:rsidRPr="00914B12">
              <w:rPr>
                <w:b/>
              </w:rPr>
              <w:t>Marshland High School part of West Norfolk Academies Trust</w:t>
            </w:r>
          </w:p>
        </w:tc>
      </w:tr>
      <w:tr w:rsidR="00563765" w:rsidRPr="005F722B" w:rsidTr="00E02357">
        <w:trPr>
          <w:trHeight w:val="567"/>
        </w:trPr>
        <w:tc>
          <w:tcPr>
            <w:tcW w:w="1177" w:type="pct"/>
            <w:vAlign w:val="center"/>
          </w:tcPr>
          <w:p w:rsidR="00563765" w:rsidRPr="00782815" w:rsidRDefault="00563765" w:rsidP="003D0A51">
            <w:pPr>
              <w:spacing w:after="0" w:line="240" w:lineRule="auto"/>
              <w:rPr>
                <w:b/>
              </w:rPr>
            </w:pPr>
            <w:r w:rsidRPr="00782815">
              <w:rPr>
                <w:b/>
              </w:rPr>
              <w:t>Job Title:</w:t>
            </w:r>
          </w:p>
        </w:tc>
        <w:tc>
          <w:tcPr>
            <w:tcW w:w="3823" w:type="pct"/>
            <w:shd w:val="clear" w:color="auto" w:fill="FFFFFF" w:themeFill="background1"/>
            <w:vAlign w:val="center"/>
          </w:tcPr>
          <w:p w:rsidR="00563765" w:rsidRPr="00914B12" w:rsidRDefault="00E02357" w:rsidP="005A2F1B">
            <w:pPr>
              <w:spacing w:after="0" w:line="240" w:lineRule="auto"/>
              <w:rPr>
                <w:rFonts w:cs="Arial"/>
                <w:b/>
              </w:rPr>
            </w:pPr>
            <w:r w:rsidRPr="00914B12">
              <w:rPr>
                <w:rFonts w:cs="Arial"/>
                <w:b/>
              </w:rPr>
              <w:t xml:space="preserve">Teacher </w:t>
            </w:r>
            <w:r w:rsidR="005F32C6">
              <w:rPr>
                <w:rFonts w:cs="Arial"/>
                <w:b/>
              </w:rPr>
              <w:t xml:space="preserve">in charge </w:t>
            </w:r>
            <w:r w:rsidRPr="00914B12">
              <w:rPr>
                <w:rFonts w:cs="Arial"/>
                <w:b/>
              </w:rPr>
              <w:t xml:space="preserve">of </w:t>
            </w:r>
            <w:r w:rsidR="00D36736" w:rsidRPr="00914B12">
              <w:rPr>
                <w:rFonts w:cs="Arial"/>
                <w:b/>
              </w:rPr>
              <w:t>Spanish</w:t>
            </w:r>
          </w:p>
        </w:tc>
      </w:tr>
      <w:tr w:rsidR="00563765" w:rsidRPr="005F722B" w:rsidTr="00E02357">
        <w:trPr>
          <w:trHeight w:val="567"/>
        </w:trPr>
        <w:tc>
          <w:tcPr>
            <w:tcW w:w="1177" w:type="pct"/>
            <w:vAlign w:val="center"/>
          </w:tcPr>
          <w:p w:rsidR="00563765" w:rsidRPr="00782815" w:rsidRDefault="00C81A7F" w:rsidP="00C81A7F">
            <w:pPr>
              <w:spacing w:after="0" w:line="240" w:lineRule="auto"/>
              <w:rPr>
                <w:b/>
              </w:rPr>
            </w:pPr>
            <w:r>
              <w:rPr>
                <w:b/>
              </w:rPr>
              <w:t>Salary</w:t>
            </w:r>
            <w:r w:rsidR="00563765" w:rsidRPr="00782815">
              <w:rPr>
                <w:b/>
              </w:rPr>
              <w:t>:</w:t>
            </w:r>
          </w:p>
        </w:tc>
        <w:tc>
          <w:tcPr>
            <w:tcW w:w="3823" w:type="pct"/>
            <w:shd w:val="clear" w:color="auto" w:fill="auto"/>
            <w:vAlign w:val="center"/>
          </w:tcPr>
          <w:p w:rsidR="00891CC6" w:rsidRPr="005F32C6" w:rsidRDefault="005F32C6" w:rsidP="005F32C6">
            <w:pPr>
              <w:spacing w:after="0" w:line="240" w:lineRule="auto"/>
              <w:rPr>
                <w:rFonts w:cs="Arial"/>
                <w:b/>
              </w:rPr>
            </w:pPr>
            <w:r>
              <w:rPr>
                <w:rFonts w:cs="Arial"/>
                <w:b/>
              </w:rPr>
              <w:t xml:space="preserve">MPS </w:t>
            </w:r>
            <w:r w:rsidRPr="005F32C6">
              <w:rPr>
                <w:rFonts w:cs="Calibri"/>
                <w:b/>
              </w:rPr>
              <w:t>+</w:t>
            </w:r>
            <w:r w:rsidRPr="005F32C6">
              <w:rPr>
                <w:rFonts w:cs="Calibri"/>
                <w:b/>
                <w:color w:val="222222"/>
                <w:shd w:val="clear" w:color="auto" w:fill="FFFFFF"/>
              </w:rPr>
              <w:t>TLR available for the appropriate candidate</w:t>
            </w:r>
          </w:p>
        </w:tc>
      </w:tr>
      <w:tr w:rsidR="00563765" w:rsidRPr="005F722B" w:rsidTr="00E02357">
        <w:trPr>
          <w:trHeight w:val="567"/>
        </w:trPr>
        <w:tc>
          <w:tcPr>
            <w:tcW w:w="1177" w:type="pct"/>
            <w:vAlign w:val="center"/>
          </w:tcPr>
          <w:p w:rsidR="00563765" w:rsidRPr="00782815" w:rsidRDefault="00563765" w:rsidP="003D0A51">
            <w:pPr>
              <w:spacing w:after="0" w:line="240" w:lineRule="auto"/>
              <w:rPr>
                <w:b/>
              </w:rPr>
            </w:pPr>
            <w:r w:rsidRPr="00782815">
              <w:rPr>
                <w:b/>
              </w:rPr>
              <w:t>Responsible to:</w:t>
            </w:r>
          </w:p>
        </w:tc>
        <w:tc>
          <w:tcPr>
            <w:tcW w:w="3823" w:type="pct"/>
            <w:shd w:val="clear" w:color="auto" w:fill="auto"/>
            <w:vAlign w:val="center"/>
          </w:tcPr>
          <w:p w:rsidR="00E02357" w:rsidRPr="00914B12" w:rsidRDefault="00E02357" w:rsidP="00E02357">
            <w:pPr>
              <w:spacing w:after="0" w:line="240" w:lineRule="auto"/>
              <w:rPr>
                <w:b/>
              </w:rPr>
            </w:pPr>
            <w:r w:rsidRPr="00914B12">
              <w:rPr>
                <w:b/>
              </w:rPr>
              <w:t>Headteacher</w:t>
            </w:r>
            <w:bookmarkStart w:id="0" w:name="_GoBack"/>
            <w:bookmarkEnd w:id="0"/>
          </w:p>
          <w:p w:rsidR="00563765" w:rsidRPr="00914B12" w:rsidRDefault="00891CC6" w:rsidP="00E02357">
            <w:pPr>
              <w:spacing w:after="0" w:line="240" w:lineRule="auto"/>
              <w:rPr>
                <w:rFonts w:cs="Arial"/>
                <w:b/>
              </w:rPr>
            </w:pPr>
            <w:r w:rsidRPr="00914B12">
              <w:rPr>
                <w:b/>
              </w:rPr>
              <w:t>Head of Department</w:t>
            </w:r>
          </w:p>
        </w:tc>
      </w:tr>
      <w:tr w:rsidR="00563765" w:rsidRPr="005F722B" w:rsidTr="00E02357">
        <w:trPr>
          <w:trHeight w:val="567"/>
        </w:trPr>
        <w:tc>
          <w:tcPr>
            <w:tcW w:w="1177" w:type="pct"/>
            <w:vAlign w:val="center"/>
          </w:tcPr>
          <w:p w:rsidR="00563765" w:rsidRPr="00782815" w:rsidRDefault="00563765" w:rsidP="003D0A51">
            <w:pPr>
              <w:spacing w:after="0" w:line="240" w:lineRule="auto"/>
              <w:rPr>
                <w:b/>
              </w:rPr>
            </w:pPr>
            <w:r>
              <w:rPr>
                <w:b/>
              </w:rPr>
              <w:t>Working With:</w:t>
            </w:r>
          </w:p>
        </w:tc>
        <w:tc>
          <w:tcPr>
            <w:tcW w:w="3823" w:type="pct"/>
            <w:shd w:val="clear" w:color="auto" w:fill="auto"/>
            <w:vAlign w:val="center"/>
          </w:tcPr>
          <w:p w:rsidR="00E02357" w:rsidRPr="00914B12" w:rsidRDefault="00E02357" w:rsidP="00E02357">
            <w:pPr>
              <w:spacing w:after="0" w:line="240" w:lineRule="auto"/>
              <w:rPr>
                <w:b/>
              </w:rPr>
            </w:pPr>
            <w:r w:rsidRPr="00914B12">
              <w:rPr>
                <w:b/>
              </w:rPr>
              <w:t>Staff</w:t>
            </w:r>
          </w:p>
          <w:p w:rsidR="00E02357" w:rsidRPr="00914B12" w:rsidRDefault="00E02357" w:rsidP="00E02357">
            <w:pPr>
              <w:spacing w:after="0" w:line="240" w:lineRule="auto"/>
              <w:rPr>
                <w:b/>
              </w:rPr>
            </w:pPr>
            <w:r w:rsidRPr="00914B12">
              <w:rPr>
                <w:b/>
              </w:rPr>
              <w:t>Students</w:t>
            </w:r>
          </w:p>
          <w:p w:rsidR="00563765" w:rsidRPr="00914B12" w:rsidRDefault="00E02357" w:rsidP="00E02357">
            <w:pPr>
              <w:spacing w:after="0" w:line="240" w:lineRule="auto"/>
              <w:rPr>
                <w:rFonts w:cs="Arial"/>
                <w:b/>
              </w:rPr>
            </w:pPr>
            <w:r w:rsidRPr="00914B12">
              <w:rPr>
                <w:b/>
              </w:rPr>
              <w:t>Parents/Carers</w:t>
            </w:r>
          </w:p>
        </w:tc>
      </w:tr>
    </w:tbl>
    <w:p w:rsidR="00E02357" w:rsidRDefault="00E02357" w:rsidP="00914B12">
      <w:pPr>
        <w:spacing w:after="0" w:line="240" w:lineRule="auto"/>
        <w:ind w:right="375"/>
        <w:rPr>
          <w:rFonts w:asciiTheme="minorHAnsi" w:hAnsiTheme="minorHAnsi"/>
          <w:b/>
          <w:sz w:val="24"/>
          <w:szCs w:val="24"/>
          <w:u w:val="single" w:color="92D050"/>
        </w:rPr>
      </w:pPr>
    </w:p>
    <w:p w:rsidR="00914B12" w:rsidRDefault="00914B12" w:rsidP="00914B12">
      <w:pPr>
        <w:spacing w:after="160" w:line="259" w:lineRule="auto"/>
      </w:pPr>
      <w:r>
        <w:t xml:space="preserve">We are seeking </w:t>
      </w:r>
      <w:r w:rsidRPr="0007114E">
        <w:t xml:space="preserve">an ambitious, passionate and imaginative </w:t>
      </w:r>
      <w:r>
        <w:t>languages</w:t>
      </w:r>
      <w:r w:rsidRPr="0007114E">
        <w:t xml:space="preserve"> teache</w:t>
      </w:r>
      <w:r>
        <w:t xml:space="preserve">r </w:t>
      </w:r>
      <w:r w:rsidRPr="0007114E">
        <w:t xml:space="preserve">to join and complement the friendly, supportive and dedicated professionals within our </w:t>
      </w:r>
      <w:r>
        <w:t>MFL</w:t>
      </w:r>
      <w:r w:rsidRPr="0007114E">
        <w:t xml:space="preserve"> </w:t>
      </w:r>
      <w:r>
        <w:t xml:space="preserve">department. This is an exciting opportunity to introduce and develop Spanish as a new language to the school.   </w:t>
      </w:r>
    </w:p>
    <w:p w:rsidR="00914B12" w:rsidRDefault="00914B12" w:rsidP="00914B12">
      <w:pPr>
        <w:spacing w:after="160" w:line="259" w:lineRule="auto"/>
      </w:pPr>
      <w:r>
        <w:t>This is a new position as a result of a curriculum decision to expand the range of languages offered by the school.   You will share your passion for language learning with the students and make an important contribution to our department teaching Spanish to KS4.  It is desirable but not essential that you can teach French and/or German to KS3.</w:t>
      </w:r>
    </w:p>
    <w:p w:rsidR="00D36736" w:rsidRDefault="00117A59" w:rsidP="00117A59">
      <w:pPr>
        <w:contextualSpacing/>
        <w:jc w:val="both"/>
      </w:pPr>
      <w:r w:rsidRPr="00117A59">
        <w:t>The appointed candidate will have excellent subject knowledge, demonstrate innovative teaching and have the commitment to raise the achievement of students at all levels.</w:t>
      </w:r>
    </w:p>
    <w:p w:rsidR="00117A59" w:rsidRDefault="00117A59" w:rsidP="00117A59">
      <w:pPr>
        <w:contextualSpacing/>
        <w:jc w:val="both"/>
      </w:pPr>
    </w:p>
    <w:p w:rsidR="006F697C" w:rsidRPr="00261A8D" w:rsidRDefault="006F697C" w:rsidP="009E0033">
      <w:pPr>
        <w:spacing w:after="160" w:line="259" w:lineRule="auto"/>
        <w:rPr>
          <w:rFonts w:asciiTheme="minorHAnsi" w:hAnsiTheme="minorHAnsi"/>
          <w:b/>
          <w:sz w:val="24"/>
          <w:szCs w:val="24"/>
        </w:rPr>
      </w:pPr>
      <w:r w:rsidRPr="003168B1">
        <w:rPr>
          <w:rFonts w:asciiTheme="minorHAnsi" w:hAnsiTheme="minorHAnsi"/>
          <w:b/>
          <w:sz w:val="24"/>
          <w:szCs w:val="24"/>
        </w:rPr>
        <w:t xml:space="preserve">Purpose of the Job </w:t>
      </w:r>
    </w:p>
    <w:p w:rsidR="001A2DCF" w:rsidRPr="001A2DCF" w:rsidRDefault="006F697C" w:rsidP="009E0033">
      <w:pPr>
        <w:pStyle w:val="ListParagraph"/>
        <w:numPr>
          <w:ilvl w:val="0"/>
          <w:numId w:val="12"/>
        </w:numPr>
        <w:autoSpaceDE w:val="0"/>
        <w:autoSpaceDN w:val="0"/>
        <w:adjustRightInd w:val="0"/>
        <w:spacing w:after="160" w:line="259" w:lineRule="auto"/>
        <w:contextualSpacing w:val="0"/>
        <w:jc w:val="both"/>
        <w:rPr>
          <w:rFonts w:cs="Calibri"/>
          <w:color w:val="000000"/>
        </w:rPr>
      </w:pPr>
      <w:r w:rsidRPr="001A2DCF">
        <w:rPr>
          <w:rFonts w:cs="Calibri"/>
          <w:bCs/>
          <w:color w:val="000000"/>
        </w:rPr>
        <w:t>To meet all requirements of the Teachers’ Standards.</w:t>
      </w:r>
    </w:p>
    <w:p w:rsidR="001A2DCF" w:rsidRDefault="006F697C" w:rsidP="009E0033">
      <w:pPr>
        <w:pStyle w:val="ListParagraph"/>
        <w:numPr>
          <w:ilvl w:val="0"/>
          <w:numId w:val="12"/>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Within the designated curriculum area, to implement, deliver and contribute to the published scheme of work. </w:t>
      </w:r>
    </w:p>
    <w:p w:rsidR="001A2DCF" w:rsidRDefault="006F697C" w:rsidP="009E0033">
      <w:pPr>
        <w:pStyle w:val="ListParagraph"/>
        <w:numPr>
          <w:ilvl w:val="0"/>
          <w:numId w:val="12"/>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shape the learning experience to motivate and encourage students to achieve their full potential. </w:t>
      </w:r>
    </w:p>
    <w:p w:rsidR="006F697C" w:rsidRDefault="006F697C" w:rsidP="009E0033">
      <w:pPr>
        <w:pStyle w:val="ListParagraph"/>
        <w:numPr>
          <w:ilvl w:val="0"/>
          <w:numId w:val="12"/>
        </w:numPr>
        <w:autoSpaceDE w:val="0"/>
        <w:autoSpaceDN w:val="0"/>
        <w:adjustRightInd w:val="0"/>
        <w:spacing w:after="0" w:line="259" w:lineRule="auto"/>
        <w:contextualSpacing w:val="0"/>
        <w:jc w:val="both"/>
        <w:rPr>
          <w:rFonts w:cs="Calibri"/>
          <w:color w:val="000000"/>
        </w:rPr>
      </w:pPr>
      <w:r w:rsidRPr="001A2DCF">
        <w:rPr>
          <w:rFonts w:cs="Calibri"/>
          <w:color w:val="000000"/>
        </w:rPr>
        <w:t xml:space="preserve">To monitor the progress of students and provide support to ensure personal and academic growth. </w:t>
      </w:r>
    </w:p>
    <w:p w:rsidR="009E0033" w:rsidRPr="009E0033" w:rsidRDefault="009E0033" w:rsidP="009E0033">
      <w:pPr>
        <w:pStyle w:val="ListParagraph"/>
        <w:autoSpaceDE w:val="0"/>
        <w:autoSpaceDN w:val="0"/>
        <w:adjustRightInd w:val="0"/>
        <w:spacing w:after="0" w:line="259" w:lineRule="auto"/>
        <w:ind w:left="360"/>
        <w:contextualSpacing w:val="0"/>
        <w:jc w:val="both"/>
        <w:rPr>
          <w:rFonts w:cs="Calibri"/>
          <w:color w:val="000000"/>
        </w:rPr>
      </w:pPr>
    </w:p>
    <w:p w:rsidR="006F697C" w:rsidRPr="00261A8D" w:rsidRDefault="006F697C" w:rsidP="009E0033">
      <w:pPr>
        <w:spacing w:after="160" w:line="259" w:lineRule="auto"/>
        <w:ind w:right="280"/>
        <w:rPr>
          <w:rFonts w:asciiTheme="minorHAnsi" w:hAnsiTheme="minorHAnsi"/>
          <w:b/>
          <w:sz w:val="24"/>
          <w:szCs w:val="24"/>
        </w:rPr>
      </w:pPr>
      <w:r>
        <w:rPr>
          <w:rFonts w:asciiTheme="minorHAnsi" w:hAnsiTheme="minorHAnsi"/>
          <w:b/>
          <w:sz w:val="24"/>
          <w:szCs w:val="24"/>
        </w:rPr>
        <w:t>Teaching and Learning Responsibilities</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deliver the designated programme of teaching as presented in the published scheme of work.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use a variety of delivery methods to stimulate learning, appropriate to student abilities.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prepare and update subject materials.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ensure a high quality learning experience for students that meets internal and external quality standards.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Within the guidance presented in the school Assessment Policy and using appropriate I.T. systems, to assess, record and report on the attendance, progress, development and attainment of students.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take part in Parent/Carer Information Evenings.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lastRenderedPageBreak/>
        <w:t xml:space="preserve">Within the school’s marking and homework policy, to set and mark work appropriate to the needs of each student. To provide constructive feedback to facilitate progression.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undertake assessment of students as required by internal and external (e.g. examination boards) procedures.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apply the school’s Behaviour Policy to ensure that effective learning can take place. To maintain discipline and use appropriate rewards and sanctions in line with school policy.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ensure that Literacy, Numeracy and ICT opportunities are optimised within the context of the designated teaching programme.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optimise the use of classroom support staff. </w:t>
      </w:r>
    </w:p>
    <w:p w:rsidR="006F697C" w:rsidRDefault="006F697C" w:rsidP="009E0033">
      <w:pPr>
        <w:pStyle w:val="ListParagraph"/>
        <w:numPr>
          <w:ilvl w:val="0"/>
          <w:numId w:val="13"/>
        </w:numPr>
        <w:autoSpaceDE w:val="0"/>
        <w:autoSpaceDN w:val="0"/>
        <w:adjustRightInd w:val="0"/>
        <w:spacing w:after="0" w:line="259" w:lineRule="auto"/>
        <w:contextualSpacing w:val="0"/>
        <w:jc w:val="both"/>
        <w:rPr>
          <w:rFonts w:cs="Calibri"/>
          <w:color w:val="000000"/>
        </w:rPr>
      </w:pPr>
      <w:r w:rsidRPr="001A2DCF">
        <w:rPr>
          <w:rFonts w:cs="Calibri"/>
          <w:color w:val="000000"/>
        </w:rPr>
        <w:t>To be willing to participate in the wider requirements of the faculty, such as after school support sessions and enrichment opportunities</w:t>
      </w:r>
      <w:r w:rsidR="009E0033">
        <w:rPr>
          <w:rFonts w:cs="Calibri"/>
          <w:color w:val="000000"/>
        </w:rPr>
        <w:t>.</w:t>
      </w:r>
    </w:p>
    <w:p w:rsidR="009E0033" w:rsidRPr="001A2DCF" w:rsidRDefault="009E0033" w:rsidP="009E0033">
      <w:pPr>
        <w:pStyle w:val="ListParagraph"/>
        <w:autoSpaceDE w:val="0"/>
        <w:autoSpaceDN w:val="0"/>
        <w:adjustRightInd w:val="0"/>
        <w:spacing w:after="0" w:line="259" w:lineRule="auto"/>
        <w:ind w:left="360"/>
        <w:contextualSpacing w:val="0"/>
        <w:jc w:val="both"/>
        <w:rPr>
          <w:rFonts w:cs="Calibri"/>
          <w:color w:val="000000"/>
        </w:rPr>
      </w:pPr>
    </w:p>
    <w:p w:rsidR="001A2DCF" w:rsidRPr="002C7602" w:rsidRDefault="001A2DCF" w:rsidP="009E0033">
      <w:pPr>
        <w:spacing w:after="160" w:line="259" w:lineRule="auto"/>
        <w:ind w:left="142" w:right="374" w:hanging="142"/>
        <w:jc w:val="both"/>
        <w:rPr>
          <w:b/>
          <w:bCs/>
          <w:sz w:val="24"/>
        </w:rPr>
      </w:pPr>
      <w:r>
        <w:rPr>
          <w:b/>
          <w:bCs/>
          <w:sz w:val="24"/>
        </w:rPr>
        <w:t>Personal a</w:t>
      </w:r>
      <w:r w:rsidRPr="002C7602">
        <w:rPr>
          <w:b/>
          <w:bCs/>
          <w:sz w:val="24"/>
        </w:rPr>
        <w:t>nd Professional Conduct</w:t>
      </w:r>
    </w:p>
    <w:p w:rsidR="001A2DCF" w:rsidRPr="006D2570" w:rsidRDefault="001A2DCF" w:rsidP="009E0033">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rsidR="001A2DCF" w:rsidRPr="006D2570" w:rsidRDefault="001A2DCF" w:rsidP="009E0033">
      <w:pPr>
        <w:spacing w:after="160" w:line="259" w:lineRule="auto"/>
        <w:ind w:right="374"/>
        <w:jc w:val="both"/>
      </w:pPr>
      <w:r w:rsidRPr="006D2570">
        <w:t>Teachers uphold public trust in the profession and maintain high standards of ethics and behaviour, within and outside school, by:</w:t>
      </w:r>
    </w:p>
    <w:p w:rsidR="001A2DCF" w:rsidRDefault="001A2DCF" w:rsidP="009E0033">
      <w:pPr>
        <w:pStyle w:val="ListParagraph"/>
        <w:numPr>
          <w:ilvl w:val="0"/>
          <w:numId w:val="14"/>
        </w:numPr>
        <w:spacing w:after="160" w:line="259" w:lineRule="auto"/>
        <w:ind w:right="374"/>
        <w:contextualSpacing w:val="0"/>
        <w:jc w:val="both"/>
      </w:pPr>
      <w:r w:rsidRPr="006D2570">
        <w:t>treating pupils with dignity, building relationships rooted in mutual respect, and at all times observing proper boundaries appropriate to a teacher’s professional position</w:t>
      </w:r>
    </w:p>
    <w:p w:rsidR="001A2DCF" w:rsidRDefault="001A2DCF" w:rsidP="009E0033">
      <w:pPr>
        <w:pStyle w:val="ListParagraph"/>
        <w:numPr>
          <w:ilvl w:val="0"/>
          <w:numId w:val="14"/>
        </w:numPr>
        <w:spacing w:after="160" w:line="259" w:lineRule="auto"/>
        <w:ind w:right="374"/>
        <w:contextualSpacing w:val="0"/>
        <w:jc w:val="both"/>
      </w:pPr>
      <w:r w:rsidRPr="006D2570">
        <w:t>having regard for the need to safeguard pupils’ well-being, in accordance with statutory provisions</w:t>
      </w:r>
    </w:p>
    <w:p w:rsidR="001A2DCF" w:rsidRDefault="001A2DCF" w:rsidP="009E0033">
      <w:pPr>
        <w:pStyle w:val="ListParagraph"/>
        <w:numPr>
          <w:ilvl w:val="0"/>
          <w:numId w:val="14"/>
        </w:numPr>
        <w:spacing w:after="160" w:line="259" w:lineRule="auto"/>
        <w:ind w:right="374"/>
        <w:contextualSpacing w:val="0"/>
        <w:jc w:val="both"/>
      </w:pPr>
      <w:r w:rsidRPr="006D2570">
        <w:t>showing tolerance of and respect for the rights of others</w:t>
      </w:r>
    </w:p>
    <w:p w:rsidR="001A2DCF" w:rsidRDefault="001A2DCF" w:rsidP="009E0033">
      <w:pPr>
        <w:pStyle w:val="ListParagraph"/>
        <w:numPr>
          <w:ilvl w:val="0"/>
          <w:numId w:val="14"/>
        </w:numPr>
        <w:spacing w:after="160" w:line="259" w:lineRule="auto"/>
        <w:ind w:right="374"/>
        <w:contextualSpacing w:val="0"/>
        <w:jc w:val="both"/>
      </w:pPr>
      <w:r w:rsidRPr="006D2570">
        <w:t>not undermining fundamental British values, including democracy, the rule of law, individual liberty and mutual respect, and tolerance of those with different faiths and beliefs</w:t>
      </w:r>
    </w:p>
    <w:p w:rsidR="001A2DCF" w:rsidRPr="006D2570" w:rsidRDefault="001A2DCF" w:rsidP="009E0033">
      <w:pPr>
        <w:pStyle w:val="ListParagraph"/>
        <w:numPr>
          <w:ilvl w:val="0"/>
          <w:numId w:val="14"/>
        </w:numPr>
        <w:spacing w:after="160" w:line="259" w:lineRule="auto"/>
        <w:ind w:right="374"/>
        <w:contextualSpacing w:val="0"/>
        <w:jc w:val="both"/>
      </w:pPr>
      <w:proofErr w:type="gramStart"/>
      <w:r w:rsidRPr="006D2570">
        <w:t>ensuring</w:t>
      </w:r>
      <w:proofErr w:type="gramEnd"/>
      <w:r w:rsidRPr="006D2570">
        <w:t xml:space="preserve"> that personal beliefs are not expressed in ways which exploit pupils’ vulnerability or might lead them to break the law.</w:t>
      </w:r>
    </w:p>
    <w:p w:rsidR="001A2DCF" w:rsidRPr="006D2570" w:rsidRDefault="001A2DCF" w:rsidP="009E0033">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rsidR="001A2DCF" w:rsidRDefault="001A2DCF" w:rsidP="009E0033">
      <w:pPr>
        <w:spacing w:after="0" w:line="259" w:lineRule="auto"/>
        <w:ind w:right="375"/>
        <w:jc w:val="both"/>
      </w:pPr>
      <w:r w:rsidRPr="006D2570">
        <w:t>Teachers must have an understanding of, and always act within, the statutory frameworks, which set out their professional duties and responsibilities.</w:t>
      </w:r>
    </w:p>
    <w:p w:rsidR="009E0033" w:rsidRPr="009E0033" w:rsidRDefault="009E0033" w:rsidP="009E0033">
      <w:pPr>
        <w:spacing w:after="0" w:line="259" w:lineRule="auto"/>
        <w:ind w:right="375"/>
        <w:jc w:val="both"/>
      </w:pPr>
    </w:p>
    <w:p w:rsidR="00532CB2" w:rsidRPr="009E0033" w:rsidRDefault="00AD59DD" w:rsidP="009E0033">
      <w:pPr>
        <w:spacing w:after="160" w:line="259" w:lineRule="auto"/>
        <w:ind w:right="375"/>
        <w:jc w:val="both"/>
        <w:rPr>
          <w:b/>
          <w:sz w:val="24"/>
        </w:rPr>
      </w:pPr>
      <w:r w:rsidRPr="00563765">
        <w:rPr>
          <w:b/>
          <w:sz w:val="24"/>
        </w:rPr>
        <w:t>Job context and flexibility</w:t>
      </w:r>
    </w:p>
    <w:p w:rsidR="006F697C" w:rsidRDefault="006F697C" w:rsidP="009E0033">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w:t>
      </w:r>
      <w:r w:rsidR="009E0033">
        <w:t>he grade and nature of the post.</w:t>
      </w:r>
    </w:p>
    <w:p w:rsidR="006F697C" w:rsidRDefault="006F697C" w:rsidP="009E0033">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6F697C" w:rsidRDefault="006F697C" w:rsidP="009E0033">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6F697C" w:rsidRDefault="006F697C" w:rsidP="009E0033">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rsidR="006F697C" w:rsidRDefault="006F697C" w:rsidP="009E0033">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6F697C" w:rsidRDefault="006F697C" w:rsidP="009E0033">
      <w:pPr>
        <w:spacing w:after="160" w:line="259" w:lineRule="auto"/>
        <w:jc w:val="both"/>
      </w:pPr>
      <w:r>
        <w:t>Where the post holder has a budgetary responsibility, it is a requirement of the role to work within the Academy’s financial regulations.</w:t>
      </w:r>
    </w:p>
    <w:p w:rsidR="00563765" w:rsidRDefault="00563765" w:rsidP="00563765"/>
    <w:p w:rsidR="00563765" w:rsidRDefault="00563765" w:rsidP="00563765"/>
    <w:p w:rsidR="00563765" w:rsidRDefault="00563765" w:rsidP="00563765"/>
    <w:p w:rsidR="001A2DCF" w:rsidRDefault="001A2DCF" w:rsidP="00563765"/>
    <w:p w:rsidR="001A2DCF" w:rsidRDefault="001A2DCF" w:rsidP="00563765"/>
    <w:p w:rsidR="001A2DCF" w:rsidRDefault="001A2DCF" w:rsidP="00563765"/>
    <w:p w:rsidR="001A2DCF" w:rsidRDefault="001A2DCF" w:rsidP="00563765"/>
    <w:p w:rsidR="001A2DCF" w:rsidRDefault="001A2DCF" w:rsidP="00563765"/>
    <w:p w:rsidR="001A2DCF" w:rsidRDefault="001A2DCF" w:rsidP="00563765"/>
    <w:p w:rsidR="001A2DCF" w:rsidRDefault="001A2DCF" w:rsidP="00563765"/>
    <w:p w:rsidR="001A2DCF" w:rsidRDefault="001A2DCF" w:rsidP="00563765"/>
    <w:p w:rsidR="001A2DCF" w:rsidRDefault="001A2DCF" w:rsidP="00563765"/>
    <w:p w:rsidR="001A2DCF" w:rsidRDefault="001A2DCF" w:rsidP="00563765"/>
    <w:p w:rsidR="009E0033" w:rsidRDefault="009E0033" w:rsidP="00563765"/>
    <w:p w:rsidR="009E0033" w:rsidRDefault="009E0033" w:rsidP="00563765"/>
    <w:p w:rsidR="009E0033" w:rsidRDefault="009E0033" w:rsidP="00563765"/>
    <w:p w:rsidR="009E0033" w:rsidRDefault="009E0033" w:rsidP="00563765"/>
    <w:p w:rsidR="009E0033" w:rsidRDefault="009E0033" w:rsidP="00563765"/>
    <w:p w:rsidR="009E0033" w:rsidRDefault="009E0033" w:rsidP="00563765"/>
    <w:p w:rsidR="009E0033" w:rsidRDefault="009E0033" w:rsidP="00563765"/>
    <w:p w:rsidR="009E0033" w:rsidRDefault="009E0033" w:rsidP="00563765"/>
    <w:p w:rsidR="009E0033" w:rsidRDefault="009E0033" w:rsidP="00563765"/>
    <w:p w:rsidR="009E0033" w:rsidRDefault="009E0033" w:rsidP="00563765"/>
    <w:p w:rsidR="00914B12" w:rsidRDefault="00914B12" w:rsidP="00563765">
      <w:pPr>
        <w:jc w:val="center"/>
        <w:rPr>
          <w:b/>
          <w:sz w:val="24"/>
          <w:szCs w:val="24"/>
        </w:rPr>
      </w:pPr>
    </w:p>
    <w:p w:rsidR="00563765" w:rsidRDefault="00AD59DD" w:rsidP="00563765">
      <w:pPr>
        <w:jc w:val="center"/>
        <w:rPr>
          <w:b/>
          <w:sz w:val="24"/>
          <w:szCs w:val="24"/>
        </w:rPr>
      </w:pPr>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3E728C" w:rsidTr="00226C82">
        <w:trPr>
          <w:trHeight w:val="340"/>
        </w:trPr>
        <w:tc>
          <w:tcPr>
            <w:tcW w:w="6096" w:type="dxa"/>
            <w:vAlign w:val="center"/>
          </w:tcPr>
          <w:p w:rsidR="00563765" w:rsidRPr="003E728C" w:rsidRDefault="00563765" w:rsidP="003D0A51">
            <w:pPr>
              <w:spacing w:after="0" w:line="240" w:lineRule="auto"/>
              <w:rPr>
                <w:b/>
                <w:szCs w:val="24"/>
              </w:rPr>
            </w:pPr>
            <w:r w:rsidRPr="003E728C">
              <w:rPr>
                <w:b/>
                <w:szCs w:val="24"/>
              </w:rPr>
              <w:t>Qualifications</w:t>
            </w:r>
          </w:p>
        </w:tc>
        <w:tc>
          <w:tcPr>
            <w:tcW w:w="1114" w:type="dxa"/>
            <w:vAlign w:val="center"/>
          </w:tcPr>
          <w:p w:rsidR="00563765" w:rsidRPr="003E728C" w:rsidRDefault="00563765" w:rsidP="003D0A51">
            <w:pPr>
              <w:spacing w:after="0" w:line="240" w:lineRule="auto"/>
              <w:jc w:val="center"/>
              <w:rPr>
                <w:b/>
                <w:szCs w:val="24"/>
              </w:rPr>
            </w:pPr>
            <w:r w:rsidRPr="003E728C">
              <w:rPr>
                <w:b/>
                <w:szCs w:val="24"/>
              </w:rPr>
              <w:t>Essential</w:t>
            </w:r>
          </w:p>
        </w:tc>
        <w:tc>
          <w:tcPr>
            <w:tcW w:w="1156" w:type="dxa"/>
            <w:vAlign w:val="center"/>
          </w:tcPr>
          <w:p w:rsidR="00563765" w:rsidRPr="003E728C" w:rsidRDefault="00563765" w:rsidP="003D0A51">
            <w:pPr>
              <w:spacing w:after="0" w:line="240" w:lineRule="auto"/>
              <w:jc w:val="center"/>
              <w:rPr>
                <w:b/>
                <w:szCs w:val="24"/>
              </w:rPr>
            </w:pPr>
            <w:r w:rsidRPr="003E728C">
              <w:rPr>
                <w:b/>
                <w:szCs w:val="24"/>
              </w:rPr>
              <w:t>Desirable</w:t>
            </w:r>
          </w:p>
        </w:tc>
        <w:tc>
          <w:tcPr>
            <w:tcW w:w="1558" w:type="dxa"/>
            <w:vAlign w:val="center"/>
          </w:tcPr>
          <w:p w:rsidR="00563765" w:rsidRPr="003E728C" w:rsidRDefault="00563765" w:rsidP="003D0A51">
            <w:pPr>
              <w:spacing w:after="0" w:line="240" w:lineRule="auto"/>
              <w:jc w:val="center"/>
              <w:rPr>
                <w:b/>
                <w:szCs w:val="24"/>
              </w:rPr>
            </w:pPr>
            <w:r w:rsidRPr="003E728C">
              <w:rPr>
                <w:b/>
                <w:szCs w:val="24"/>
              </w:rPr>
              <w:t>How assessed</w:t>
            </w:r>
          </w:p>
        </w:tc>
      </w:tr>
      <w:tr w:rsidR="009E0033" w:rsidRPr="005F722B" w:rsidTr="00226C82">
        <w:trPr>
          <w:trHeight w:val="340"/>
        </w:trPr>
        <w:tc>
          <w:tcPr>
            <w:tcW w:w="6096" w:type="dxa"/>
            <w:vAlign w:val="center"/>
          </w:tcPr>
          <w:p w:rsidR="009E0033" w:rsidRPr="005F722B" w:rsidRDefault="009E0033" w:rsidP="006F697C">
            <w:pPr>
              <w:spacing w:after="0" w:line="240" w:lineRule="auto"/>
            </w:pPr>
            <w:r>
              <w:t>Qualified Teacher Status</w:t>
            </w:r>
          </w:p>
        </w:tc>
        <w:tc>
          <w:tcPr>
            <w:tcW w:w="1114" w:type="dxa"/>
            <w:vAlign w:val="center"/>
          </w:tcPr>
          <w:p w:rsidR="009E0033" w:rsidRPr="000D2E79" w:rsidRDefault="009E0033" w:rsidP="006F697C">
            <w:pPr>
              <w:spacing w:after="0" w:line="240" w:lineRule="auto"/>
              <w:jc w:val="center"/>
              <w:rPr>
                <w:u w:val="single"/>
              </w:rPr>
            </w:pPr>
            <w:r w:rsidRPr="000D2E79">
              <w:rPr>
                <w:b/>
                <w:szCs w:val="24"/>
              </w:rPr>
              <w:sym w:font="Wingdings 2" w:char="F050"/>
            </w:r>
          </w:p>
        </w:tc>
        <w:tc>
          <w:tcPr>
            <w:tcW w:w="1156" w:type="dxa"/>
            <w:vAlign w:val="center"/>
          </w:tcPr>
          <w:p w:rsidR="009E0033" w:rsidRPr="005F722B" w:rsidRDefault="009E0033" w:rsidP="006F697C">
            <w:pPr>
              <w:spacing w:after="0" w:line="240" w:lineRule="auto"/>
              <w:jc w:val="center"/>
              <w:rPr>
                <w:u w:val="single"/>
              </w:rPr>
            </w:pPr>
          </w:p>
        </w:tc>
        <w:tc>
          <w:tcPr>
            <w:tcW w:w="1558" w:type="dxa"/>
            <w:vMerge w:val="restart"/>
            <w:vAlign w:val="center"/>
          </w:tcPr>
          <w:p w:rsidR="009E0033" w:rsidRPr="00EC7FEC" w:rsidRDefault="009E0033" w:rsidP="000D2E79">
            <w:pPr>
              <w:spacing w:after="0" w:line="240" w:lineRule="auto"/>
              <w:jc w:val="center"/>
            </w:pPr>
            <w:proofErr w:type="spellStart"/>
            <w:r>
              <w:t>Appl</w:t>
            </w:r>
            <w:proofErr w:type="spellEnd"/>
          </w:p>
        </w:tc>
      </w:tr>
      <w:tr w:rsidR="009E0033" w:rsidRPr="005F722B" w:rsidTr="00226C82">
        <w:trPr>
          <w:trHeight w:val="340"/>
        </w:trPr>
        <w:tc>
          <w:tcPr>
            <w:tcW w:w="6096" w:type="dxa"/>
            <w:vAlign w:val="center"/>
          </w:tcPr>
          <w:p w:rsidR="009E0033" w:rsidRPr="005F722B" w:rsidRDefault="009E0033" w:rsidP="006F697C">
            <w:pPr>
              <w:spacing w:after="0" w:line="240" w:lineRule="auto"/>
            </w:pPr>
            <w:r>
              <w:t>Educated to Degree Level</w:t>
            </w:r>
          </w:p>
        </w:tc>
        <w:tc>
          <w:tcPr>
            <w:tcW w:w="1114" w:type="dxa"/>
            <w:vAlign w:val="center"/>
          </w:tcPr>
          <w:p w:rsidR="009E0033" w:rsidRPr="000D2E79" w:rsidRDefault="009E0033" w:rsidP="006F697C">
            <w:pPr>
              <w:spacing w:after="0" w:line="240" w:lineRule="auto"/>
              <w:jc w:val="center"/>
              <w:rPr>
                <w:u w:val="single"/>
              </w:rPr>
            </w:pPr>
            <w:r w:rsidRPr="000D2E79">
              <w:rPr>
                <w:b/>
                <w:szCs w:val="24"/>
              </w:rPr>
              <w:sym w:font="Wingdings 2" w:char="F050"/>
            </w:r>
          </w:p>
        </w:tc>
        <w:tc>
          <w:tcPr>
            <w:tcW w:w="1156" w:type="dxa"/>
            <w:vAlign w:val="center"/>
          </w:tcPr>
          <w:p w:rsidR="009E0033" w:rsidRPr="005F722B" w:rsidRDefault="009E0033" w:rsidP="006F697C">
            <w:pPr>
              <w:spacing w:after="0" w:line="240" w:lineRule="auto"/>
              <w:jc w:val="center"/>
              <w:rPr>
                <w:u w:val="single"/>
              </w:rPr>
            </w:pPr>
          </w:p>
        </w:tc>
        <w:tc>
          <w:tcPr>
            <w:tcW w:w="1558" w:type="dxa"/>
            <w:vMerge/>
          </w:tcPr>
          <w:p w:rsidR="009E0033" w:rsidRPr="005F722B" w:rsidRDefault="009E0033" w:rsidP="006F697C">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Default="009E0033" w:rsidP="006F697C">
            <w:pPr>
              <w:spacing w:after="0" w:line="240" w:lineRule="auto"/>
            </w:pPr>
            <w:r w:rsidRPr="00CA7916">
              <w:t>Evidence of CPD linked to curriculum development</w:t>
            </w:r>
          </w:p>
        </w:tc>
        <w:tc>
          <w:tcPr>
            <w:tcW w:w="1114" w:type="dxa"/>
            <w:vAlign w:val="center"/>
          </w:tcPr>
          <w:p w:rsidR="009E0033" w:rsidRPr="000D2E79" w:rsidRDefault="009E0033" w:rsidP="006F697C">
            <w:pPr>
              <w:spacing w:after="0" w:line="240" w:lineRule="auto"/>
              <w:jc w:val="center"/>
              <w:rPr>
                <w:b/>
                <w:szCs w:val="24"/>
              </w:rPr>
            </w:pPr>
          </w:p>
        </w:tc>
        <w:tc>
          <w:tcPr>
            <w:tcW w:w="1156" w:type="dxa"/>
            <w:vAlign w:val="center"/>
          </w:tcPr>
          <w:p w:rsidR="009E0033" w:rsidRPr="005F722B" w:rsidRDefault="009E0033" w:rsidP="006F697C">
            <w:pPr>
              <w:spacing w:after="0" w:line="240" w:lineRule="auto"/>
              <w:jc w:val="center"/>
              <w:rPr>
                <w:u w:val="single"/>
              </w:rPr>
            </w:pPr>
            <w:r w:rsidRPr="000D2E79">
              <w:rPr>
                <w:b/>
                <w:szCs w:val="24"/>
              </w:rPr>
              <w:sym w:font="Wingdings 2" w:char="F050"/>
            </w:r>
          </w:p>
        </w:tc>
        <w:tc>
          <w:tcPr>
            <w:tcW w:w="1558" w:type="dxa"/>
            <w:vMerge/>
          </w:tcPr>
          <w:p w:rsidR="009E0033" w:rsidRPr="005F722B" w:rsidRDefault="009E0033" w:rsidP="006F697C">
            <w:pPr>
              <w:spacing w:after="0" w:line="240" w:lineRule="auto"/>
              <w:jc w:val="center"/>
              <w:rPr>
                <w:sz w:val="28"/>
                <w:szCs w:val="28"/>
                <w:u w:val="single"/>
              </w:rPr>
            </w:pPr>
          </w:p>
        </w:tc>
      </w:tr>
    </w:tbl>
    <w:p w:rsidR="00563765" w:rsidRPr="00747D18" w:rsidRDefault="00563765" w:rsidP="00747D18">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3E728C" w:rsidTr="00226C82">
        <w:trPr>
          <w:trHeight w:val="340"/>
        </w:trPr>
        <w:tc>
          <w:tcPr>
            <w:tcW w:w="6096" w:type="dxa"/>
            <w:vAlign w:val="center"/>
          </w:tcPr>
          <w:p w:rsidR="00563765" w:rsidRPr="003E728C" w:rsidRDefault="00563765" w:rsidP="003D0A51">
            <w:pPr>
              <w:spacing w:after="0" w:line="240" w:lineRule="auto"/>
              <w:rPr>
                <w:b/>
                <w:szCs w:val="24"/>
              </w:rPr>
            </w:pPr>
            <w:r w:rsidRPr="003E728C">
              <w:rPr>
                <w:b/>
                <w:szCs w:val="24"/>
              </w:rPr>
              <w:t>Experience</w:t>
            </w:r>
          </w:p>
        </w:tc>
        <w:tc>
          <w:tcPr>
            <w:tcW w:w="1114" w:type="dxa"/>
            <w:vAlign w:val="center"/>
          </w:tcPr>
          <w:p w:rsidR="00563765" w:rsidRPr="003E728C" w:rsidRDefault="00563765" w:rsidP="003D0A51">
            <w:pPr>
              <w:spacing w:after="0" w:line="240" w:lineRule="auto"/>
              <w:jc w:val="center"/>
              <w:rPr>
                <w:b/>
                <w:szCs w:val="24"/>
              </w:rPr>
            </w:pPr>
            <w:r w:rsidRPr="003E728C">
              <w:rPr>
                <w:b/>
                <w:szCs w:val="24"/>
              </w:rPr>
              <w:t>Essential</w:t>
            </w:r>
          </w:p>
        </w:tc>
        <w:tc>
          <w:tcPr>
            <w:tcW w:w="1156" w:type="dxa"/>
            <w:vAlign w:val="center"/>
          </w:tcPr>
          <w:p w:rsidR="00563765" w:rsidRPr="003E728C" w:rsidRDefault="00563765" w:rsidP="003D0A51">
            <w:pPr>
              <w:spacing w:after="0" w:line="240" w:lineRule="auto"/>
              <w:jc w:val="center"/>
              <w:rPr>
                <w:b/>
                <w:szCs w:val="24"/>
              </w:rPr>
            </w:pPr>
            <w:r w:rsidRPr="003E728C">
              <w:rPr>
                <w:b/>
                <w:szCs w:val="24"/>
              </w:rPr>
              <w:t>Desirable</w:t>
            </w:r>
          </w:p>
        </w:tc>
        <w:tc>
          <w:tcPr>
            <w:tcW w:w="1558" w:type="dxa"/>
            <w:vAlign w:val="center"/>
          </w:tcPr>
          <w:p w:rsidR="00563765" w:rsidRPr="003E728C" w:rsidRDefault="00563765" w:rsidP="003D0A51">
            <w:pPr>
              <w:spacing w:after="0" w:line="240" w:lineRule="auto"/>
              <w:jc w:val="center"/>
              <w:rPr>
                <w:b/>
                <w:szCs w:val="24"/>
              </w:rPr>
            </w:pPr>
            <w:r w:rsidRPr="003E728C">
              <w:rPr>
                <w:b/>
                <w:szCs w:val="24"/>
              </w:rPr>
              <w:t>How assessed</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A record of successful teaching at KS3 and KS4</w:t>
            </w:r>
          </w:p>
        </w:tc>
        <w:tc>
          <w:tcPr>
            <w:tcW w:w="1114" w:type="dxa"/>
            <w:vAlign w:val="center"/>
          </w:tcPr>
          <w:p w:rsidR="009E0033" w:rsidRPr="000D2E79" w:rsidRDefault="009E0033" w:rsidP="009E0033">
            <w:pPr>
              <w:spacing w:after="0" w:line="240" w:lineRule="auto"/>
              <w:jc w:val="center"/>
              <w:rPr>
                <w:u w:val="single"/>
              </w:rPr>
            </w:pPr>
            <w:r w:rsidRPr="000D2E79">
              <w:rPr>
                <w:b/>
                <w:szCs w:val="24"/>
              </w:rPr>
              <w:sym w:font="Wingdings 2" w:char="F050"/>
            </w:r>
          </w:p>
        </w:tc>
        <w:tc>
          <w:tcPr>
            <w:tcW w:w="1156" w:type="dxa"/>
            <w:vAlign w:val="center"/>
          </w:tcPr>
          <w:p w:rsidR="009E0033" w:rsidRPr="000D2E79" w:rsidRDefault="009E0033" w:rsidP="009E0033">
            <w:pPr>
              <w:spacing w:after="0" w:line="240" w:lineRule="auto"/>
              <w:jc w:val="center"/>
              <w:rPr>
                <w:u w:val="single"/>
              </w:rPr>
            </w:pPr>
          </w:p>
        </w:tc>
        <w:tc>
          <w:tcPr>
            <w:tcW w:w="1558" w:type="dxa"/>
            <w:vMerge w:val="restart"/>
            <w:vAlign w:val="center"/>
          </w:tcPr>
          <w:p w:rsidR="009E0033" w:rsidRPr="00EC7FEC" w:rsidRDefault="009E0033" w:rsidP="009E0033">
            <w:pPr>
              <w:spacing w:after="0" w:line="240" w:lineRule="auto"/>
              <w:jc w:val="center"/>
            </w:pPr>
            <w:proofErr w:type="spellStart"/>
            <w:r>
              <w:t>Appl</w:t>
            </w:r>
            <w:proofErr w:type="spellEnd"/>
            <w:r>
              <w:t>/</w:t>
            </w:r>
            <w:proofErr w:type="spellStart"/>
            <w:r>
              <w:t>Int</w:t>
            </w:r>
            <w:proofErr w:type="spellEnd"/>
            <w:r>
              <w:t>/Ref</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Substantial teaching experience</w:t>
            </w:r>
          </w:p>
        </w:tc>
        <w:tc>
          <w:tcPr>
            <w:tcW w:w="1114" w:type="dxa"/>
            <w:vAlign w:val="center"/>
          </w:tcPr>
          <w:p w:rsidR="009E0033" w:rsidRPr="000D2E79" w:rsidRDefault="009E0033" w:rsidP="009E0033">
            <w:pPr>
              <w:spacing w:after="0" w:line="240" w:lineRule="auto"/>
              <w:jc w:val="center"/>
              <w:rPr>
                <w:b/>
                <w:szCs w:val="24"/>
              </w:rPr>
            </w:pPr>
          </w:p>
        </w:tc>
        <w:tc>
          <w:tcPr>
            <w:tcW w:w="1156" w:type="dxa"/>
            <w:vAlign w:val="center"/>
          </w:tcPr>
          <w:p w:rsidR="009E0033" w:rsidRPr="000D2E79" w:rsidRDefault="009E0033" w:rsidP="009E0033">
            <w:pPr>
              <w:spacing w:after="0" w:line="240" w:lineRule="auto"/>
              <w:jc w:val="center"/>
              <w:rPr>
                <w:u w:val="single"/>
              </w:rPr>
            </w:pPr>
            <w:r w:rsidRPr="000D2E79">
              <w:rPr>
                <w:b/>
                <w:szCs w:val="24"/>
              </w:rPr>
              <w:sym w:font="Wingdings 2" w:char="F050"/>
            </w:r>
          </w:p>
        </w:tc>
        <w:tc>
          <w:tcPr>
            <w:tcW w:w="1558" w:type="dxa"/>
            <w:vMerge/>
          </w:tcPr>
          <w:p w:rsidR="009E0033" w:rsidRDefault="009E0033" w:rsidP="009E0033">
            <w:pPr>
              <w:spacing w:after="0" w:line="240" w:lineRule="auto"/>
              <w:jc w:val="cente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Experience of developing the curriculum</w:t>
            </w:r>
          </w:p>
        </w:tc>
        <w:tc>
          <w:tcPr>
            <w:tcW w:w="1114" w:type="dxa"/>
            <w:vAlign w:val="center"/>
          </w:tcPr>
          <w:p w:rsidR="009E0033" w:rsidRPr="000D2E79" w:rsidRDefault="009E0033" w:rsidP="009E0033">
            <w:pPr>
              <w:spacing w:after="0" w:line="240" w:lineRule="auto"/>
              <w:jc w:val="center"/>
              <w:rPr>
                <w:b/>
                <w:szCs w:val="24"/>
              </w:rPr>
            </w:pPr>
          </w:p>
        </w:tc>
        <w:tc>
          <w:tcPr>
            <w:tcW w:w="1156" w:type="dxa"/>
            <w:vAlign w:val="center"/>
          </w:tcPr>
          <w:p w:rsidR="009E0033" w:rsidRPr="000D2E79" w:rsidRDefault="009E0033" w:rsidP="009E0033">
            <w:pPr>
              <w:spacing w:after="0" w:line="240" w:lineRule="auto"/>
              <w:jc w:val="center"/>
              <w:rPr>
                <w:u w:val="single"/>
              </w:rPr>
            </w:pPr>
            <w:r w:rsidRPr="000D2E79">
              <w:rPr>
                <w:b/>
                <w:szCs w:val="24"/>
              </w:rPr>
              <w:sym w:font="Wingdings 2" w:char="F050"/>
            </w:r>
          </w:p>
        </w:tc>
        <w:tc>
          <w:tcPr>
            <w:tcW w:w="1558" w:type="dxa"/>
            <w:vMerge/>
          </w:tcPr>
          <w:p w:rsidR="009E0033" w:rsidRDefault="009E0033" w:rsidP="009E0033">
            <w:pPr>
              <w:spacing w:after="0" w:line="240" w:lineRule="auto"/>
              <w:jc w:val="cente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Experience of effective management of student behaviour</w:t>
            </w:r>
          </w:p>
        </w:tc>
        <w:tc>
          <w:tcPr>
            <w:tcW w:w="1114" w:type="dxa"/>
            <w:vAlign w:val="center"/>
          </w:tcPr>
          <w:p w:rsidR="009E0033" w:rsidRPr="000D2E79" w:rsidRDefault="009E0033" w:rsidP="009E0033">
            <w:pPr>
              <w:spacing w:after="0" w:line="240" w:lineRule="auto"/>
              <w:jc w:val="center"/>
              <w:rPr>
                <w:b/>
                <w:szCs w:val="24"/>
              </w:rPr>
            </w:pPr>
            <w:r w:rsidRPr="000D2E79">
              <w:rPr>
                <w:b/>
                <w:szCs w:val="24"/>
              </w:rPr>
              <w:sym w:font="Wingdings 2" w:char="F050"/>
            </w:r>
          </w:p>
        </w:tc>
        <w:tc>
          <w:tcPr>
            <w:tcW w:w="1156" w:type="dxa"/>
            <w:vAlign w:val="center"/>
          </w:tcPr>
          <w:p w:rsidR="009E0033" w:rsidRPr="000D2E79" w:rsidRDefault="009E0033" w:rsidP="009E0033">
            <w:pPr>
              <w:spacing w:after="0" w:line="240" w:lineRule="auto"/>
              <w:jc w:val="center"/>
              <w:rPr>
                <w:u w:val="single"/>
              </w:rPr>
            </w:pPr>
          </w:p>
        </w:tc>
        <w:tc>
          <w:tcPr>
            <w:tcW w:w="1558" w:type="dxa"/>
            <w:vMerge/>
          </w:tcPr>
          <w:p w:rsidR="009E0033" w:rsidRDefault="009E0033" w:rsidP="009E0033">
            <w:pPr>
              <w:spacing w:after="0" w:line="240" w:lineRule="auto"/>
              <w:jc w:val="center"/>
            </w:pPr>
          </w:p>
        </w:tc>
      </w:tr>
    </w:tbl>
    <w:p w:rsidR="000D2E79" w:rsidRPr="00747D18" w:rsidRDefault="000D2E79" w:rsidP="00747D18">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087B2E" w:rsidRPr="003E728C" w:rsidTr="00226C82">
        <w:trPr>
          <w:trHeight w:val="340"/>
        </w:trPr>
        <w:tc>
          <w:tcPr>
            <w:tcW w:w="6096" w:type="dxa"/>
            <w:vAlign w:val="center"/>
          </w:tcPr>
          <w:p w:rsidR="00087B2E" w:rsidRPr="003E728C" w:rsidRDefault="00087B2E" w:rsidP="003D0A51">
            <w:pPr>
              <w:spacing w:after="0" w:line="240" w:lineRule="auto"/>
              <w:rPr>
                <w:b/>
                <w:szCs w:val="24"/>
              </w:rPr>
            </w:pPr>
            <w:r w:rsidRPr="003E728C">
              <w:rPr>
                <w:b/>
                <w:szCs w:val="24"/>
              </w:rPr>
              <w:t>Skills, Attributes and Knowledge</w:t>
            </w:r>
          </w:p>
        </w:tc>
        <w:tc>
          <w:tcPr>
            <w:tcW w:w="1114" w:type="dxa"/>
            <w:vAlign w:val="center"/>
          </w:tcPr>
          <w:p w:rsidR="00087B2E" w:rsidRPr="003E728C" w:rsidRDefault="00087B2E" w:rsidP="003D0A51">
            <w:pPr>
              <w:spacing w:after="0" w:line="240" w:lineRule="auto"/>
              <w:jc w:val="center"/>
              <w:rPr>
                <w:b/>
                <w:szCs w:val="24"/>
              </w:rPr>
            </w:pPr>
            <w:r w:rsidRPr="003E728C">
              <w:rPr>
                <w:b/>
                <w:szCs w:val="24"/>
              </w:rPr>
              <w:t>Essential</w:t>
            </w:r>
          </w:p>
        </w:tc>
        <w:tc>
          <w:tcPr>
            <w:tcW w:w="1156" w:type="dxa"/>
            <w:vAlign w:val="center"/>
          </w:tcPr>
          <w:p w:rsidR="00087B2E" w:rsidRPr="003E728C" w:rsidRDefault="00087B2E" w:rsidP="003D0A51">
            <w:pPr>
              <w:spacing w:after="0" w:line="240" w:lineRule="auto"/>
              <w:jc w:val="center"/>
              <w:rPr>
                <w:b/>
                <w:szCs w:val="24"/>
              </w:rPr>
            </w:pPr>
            <w:r w:rsidRPr="003E728C">
              <w:rPr>
                <w:b/>
                <w:szCs w:val="24"/>
              </w:rPr>
              <w:t>Desirable</w:t>
            </w:r>
          </w:p>
        </w:tc>
        <w:tc>
          <w:tcPr>
            <w:tcW w:w="1558" w:type="dxa"/>
            <w:vAlign w:val="center"/>
          </w:tcPr>
          <w:p w:rsidR="00087B2E" w:rsidRPr="003E728C" w:rsidRDefault="00087B2E" w:rsidP="003D0A51">
            <w:pPr>
              <w:spacing w:after="0" w:line="240" w:lineRule="auto"/>
              <w:jc w:val="center"/>
              <w:rPr>
                <w:b/>
                <w:szCs w:val="24"/>
              </w:rPr>
            </w:pPr>
            <w:r w:rsidRPr="003E728C">
              <w:rPr>
                <w:b/>
                <w:szCs w:val="24"/>
              </w:rPr>
              <w:t>How assessed</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Secure knowledge of subject area</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rPr>
                <w:u w:val="single"/>
              </w:rPr>
            </w:pPr>
          </w:p>
        </w:tc>
        <w:tc>
          <w:tcPr>
            <w:tcW w:w="1558" w:type="dxa"/>
            <w:vMerge w:val="restart"/>
            <w:vAlign w:val="center"/>
          </w:tcPr>
          <w:p w:rsidR="009E0033" w:rsidRPr="005F722B" w:rsidRDefault="009E0033" w:rsidP="009E0033">
            <w:pPr>
              <w:spacing w:after="0" w:line="240" w:lineRule="auto"/>
              <w:jc w:val="center"/>
              <w:rPr>
                <w:sz w:val="28"/>
                <w:szCs w:val="28"/>
                <w:u w:val="single"/>
              </w:rPr>
            </w:pPr>
          </w:p>
          <w:p w:rsidR="009E0033" w:rsidRPr="00EC7FEC" w:rsidRDefault="009E0033" w:rsidP="009E0033">
            <w:pPr>
              <w:spacing w:after="0" w:line="240" w:lineRule="auto"/>
              <w:jc w:val="center"/>
            </w:pPr>
            <w:proofErr w:type="spellStart"/>
            <w:r>
              <w:t>Appl</w:t>
            </w:r>
            <w:proofErr w:type="spellEnd"/>
            <w:r>
              <w:t>/</w:t>
            </w:r>
            <w:proofErr w:type="spellStart"/>
            <w:r>
              <w:t>Int</w:t>
            </w:r>
            <w:proofErr w:type="spellEnd"/>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 xml:space="preserve">Knowledge of how to develop </w:t>
            </w:r>
            <w:proofErr w:type="spellStart"/>
            <w:r w:rsidRPr="009E0033">
              <w:t>AfL</w:t>
            </w:r>
            <w:proofErr w:type="spellEnd"/>
            <w:r w:rsidRPr="009E0033">
              <w:t xml:space="preserve"> and monitor impact</w:t>
            </w:r>
          </w:p>
        </w:tc>
        <w:tc>
          <w:tcPr>
            <w:tcW w:w="1114" w:type="dxa"/>
            <w:vAlign w:val="center"/>
          </w:tcPr>
          <w:p w:rsidR="009E0033" w:rsidRPr="000D2E79" w:rsidRDefault="009E0033" w:rsidP="009E0033">
            <w:pPr>
              <w:spacing w:after="0"/>
              <w:jc w:val="center"/>
              <w:rPr>
                <w:b/>
                <w:szCs w:val="24"/>
              </w:rPr>
            </w:pPr>
            <w:r w:rsidRPr="000D2E79">
              <w:rPr>
                <w:b/>
                <w:szCs w:val="24"/>
              </w:rPr>
              <w:sym w:font="Wingdings 2" w:char="F050"/>
            </w:r>
          </w:p>
        </w:tc>
        <w:tc>
          <w:tcPr>
            <w:tcW w:w="1156" w:type="dxa"/>
            <w:vAlign w:val="center"/>
          </w:tcPr>
          <w:p w:rsidR="009E0033" w:rsidRPr="005F722B" w:rsidRDefault="009E0033" w:rsidP="009E0033">
            <w:pPr>
              <w:spacing w:after="0" w:line="240" w:lineRule="auto"/>
              <w:rPr>
                <w:u w:val="single"/>
              </w:rPr>
            </w:pPr>
          </w:p>
        </w:tc>
        <w:tc>
          <w:tcPr>
            <w:tcW w:w="1558" w:type="dxa"/>
            <w:vMerge/>
            <w:vAlign w:val="center"/>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Clear understanding of planning differentiation into the curriculum</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jc w:val="center"/>
              <w:rPr>
                <w:u w:val="single"/>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Awareness of Safeguarding and Child Protection issues</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jc w:val="center"/>
              <w:rPr>
                <w:u w:val="single"/>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Good understanding of whole school issues</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jc w:val="center"/>
              <w:rPr>
                <w:u w:val="single"/>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Strong understanding of the analysis and use of data to make improvements/inform planning</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32CB2" w:rsidRDefault="009E0033" w:rsidP="009E0033">
            <w:pPr>
              <w:spacing w:after="0" w:line="240" w:lineRule="auto"/>
              <w:jc w:val="center"/>
              <w:rPr>
                <w:b/>
                <w:sz w:val="24"/>
                <w:szCs w:val="24"/>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Excellent communication skills (written &amp; verbal)</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32CB2" w:rsidRDefault="009E0033" w:rsidP="009E0033">
            <w:pPr>
              <w:spacing w:after="0" w:line="240" w:lineRule="auto"/>
              <w:jc w:val="center"/>
              <w:rPr>
                <w:b/>
                <w:sz w:val="24"/>
                <w:szCs w:val="24"/>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Planning, prioritising and managing workload in an environment of conflicting demands</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32CB2" w:rsidRDefault="009E0033" w:rsidP="009E0033">
            <w:pPr>
              <w:spacing w:after="0" w:line="240" w:lineRule="auto"/>
              <w:jc w:val="center"/>
              <w:rPr>
                <w:b/>
                <w:sz w:val="24"/>
                <w:szCs w:val="24"/>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Sound knowledge of the National Agenda</w:t>
            </w:r>
          </w:p>
        </w:tc>
        <w:tc>
          <w:tcPr>
            <w:tcW w:w="1114" w:type="dxa"/>
            <w:vAlign w:val="center"/>
          </w:tcPr>
          <w:p w:rsidR="009E0033" w:rsidRPr="000D2E79" w:rsidRDefault="009E0033" w:rsidP="009E0033">
            <w:pPr>
              <w:spacing w:after="0"/>
              <w:jc w:val="center"/>
            </w:pPr>
          </w:p>
        </w:tc>
        <w:tc>
          <w:tcPr>
            <w:tcW w:w="1156" w:type="dxa"/>
            <w:vAlign w:val="center"/>
          </w:tcPr>
          <w:p w:rsidR="009E0033" w:rsidRPr="00532CB2" w:rsidRDefault="00226C82" w:rsidP="009E0033">
            <w:pPr>
              <w:spacing w:after="0" w:line="240" w:lineRule="auto"/>
              <w:jc w:val="center"/>
              <w:rPr>
                <w:b/>
                <w:sz w:val="24"/>
                <w:szCs w:val="24"/>
              </w:rPr>
            </w:pPr>
            <w:r w:rsidRPr="000D2E79">
              <w:rPr>
                <w:b/>
                <w:szCs w:val="24"/>
              </w:rPr>
              <w:sym w:font="Wingdings 2" w:char="F050"/>
            </w:r>
          </w:p>
        </w:tc>
        <w:tc>
          <w:tcPr>
            <w:tcW w:w="1558" w:type="dxa"/>
            <w:vMerge/>
          </w:tcPr>
          <w:p w:rsidR="009E0033" w:rsidRPr="005F722B" w:rsidRDefault="009E0033" w:rsidP="009E0033">
            <w:pPr>
              <w:spacing w:after="0" w:line="240" w:lineRule="auto"/>
              <w:jc w:val="center"/>
              <w:rPr>
                <w:sz w:val="28"/>
                <w:szCs w:val="28"/>
                <w:u w:val="single"/>
              </w:rPr>
            </w:pPr>
          </w:p>
        </w:tc>
      </w:tr>
    </w:tbl>
    <w:p w:rsidR="0046555C" w:rsidRPr="00747D18" w:rsidRDefault="0046555C" w:rsidP="00747D18">
      <w:pPr>
        <w:spacing w:after="0"/>
        <w:rPr>
          <w:sz w:val="18"/>
          <w:szCs w:val="28"/>
          <w:u w:val="single"/>
        </w:rPr>
      </w:pPr>
    </w:p>
    <w:tbl>
      <w:tblPr>
        <w:tblStyle w:val="TableGrid"/>
        <w:tblW w:w="9952" w:type="dxa"/>
        <w:tblInd w:w="-459" w:type="dxa"/>
        <w:tblLayout w:type="fixed"/>
        <w:tblLook w:val="04A0" w:firstRow="1" w:lastRow="0" w:firstColumn="1" w:lastColumn="0" w:noHBand="0" w:noVBand="1"/>
      </w:tblPr>
      <w:tblGrid>
        <w:gridCol w:w="6124"/>
        <w:gridCol w:w="1134"/>
        <w:gridCol w:w="1134"/>
        <w:gridCol w:w="1560"/>
      </w:tblGrid>
      <w:tr w:rsidR="0046555C" w:rsidRPr="003E728C" w:rsidTr="00226C82">
        <w:trPr>
          <w:trHeight w:val="340"/>
        </w:trPr>
        <w:tc>
          <w:tcPr>
            <w:tcW w:w="6124" w:type="dxa"/>
            <w:vAlign w:val="center"/>
          </w:tcPr>
          <w:p w:rsidR="0046555C" w:rsidRPr="003E728C" w:rsidRDefault="0046555C" w:rsidP="00747D18">
            <w:pPr>
              <w:rPr>
                <w:b/>
                <w:szCs w:val="24"/>
              </w:rPr>
            </w:pPr>
            <w:r w:rsidRPr="003E728C">
              <w:rPr>
                <w:b/>
                <w:szCs w:val="24"/>
              </w:rPr>
              <w:t>Personal qualities</w:t>
            </w:r>
          </w:p>
        </w:tc>
        <w:tc>
          <w:tcPr>
            <w:tcW w:w="1134" w:type="dxa"/>
            <w:vAlign w:val="center"/>
          </w:tcPr>
          <w:p w:rsidR="0046555C" w:rsidRPr="003E728C" w:rsidRDefault="0046555C" w:rsidP="008F3F38">
            <w:pPr>
              <w:jc w:val="center"/>
              <w:rPr>
                <w:szCs w:val="24"/>
              </w:rPr>
            </w:pPr>
            <w:r w:rsidRPr="003E728C">
              <w:rPr>
                <w:b/>
                <w:szCs w:val="24"/>
              </w:rPr>
              <w:t>Essential</w:t>
            </w:r>
          </w:p>
        </w:tc>
        <w:tc>
          <w:tcPr>
            <w:tcW w:w="1134" w:type="dxa"/>
            <w:vAlign w:val="center"/>
          </w:tcPr>
          <w:p w:rsidR="0046555C" w:rsidRPr="003E728C" w:rsidRDefault="0046555C" w:rsidP="008F3F38">
            <w:pPr>
              <w:jc w:val="center"/>
              <w:rPr>
                <w:b/>
                <w:szCs w:val="24"/>
              </w:rPr>
            </w:pPr>
            <w:r w:rsidRPr="003E728C">
              <w:rPr>
                <w:b/>
                <w:szCs w:val="24"/>
              </w:rPr>
              <w:t>Desirable</w:t>
            </w:r>
          </w:p>
        </w:tc>
        <w:tc>
          <w:tcPr>
            <w:tcW w:w="1560" w:type="dxa"/>
            <w:vAlign w:val="center"/>
          </w:tcPr>
          <w:p w:rsidR="0046555C" w:rsidRPr="003E728C" w:rsidRDefault="0046555C" w:rsidP="008F3F38">
            <w:pPr>
              <w:jc w:val="center"/>
              <w:rPr>
                <w:b/>
                <w:szCs w:val="24"/>
              </w:rPr>
            </w:pPr>
            <w:r w:rsidRPr="003E728C">
              <w:rPr>
                <w:b/>
                <w:szCs w:val="24"/>
              </w:rPr>
              <w:t>How assessed</w:t>
            </w:r>
          </w:p>
        </w:tc>
      </w:tr>
      <w:tr w:rsidR="00226C82" w:rsidTr="00226C82">
        <w:trPr>
          <w:trHeight w:val="340"/>
        </w:trPr>
        <w:tc>
          <w:tcPr>
            <w:tcW w:w="6124" w:type="dxa"/>
            <w:vAlign w:val="center"/>
          </w:tcPr>
          <w:p w:rsidR="00226C82" w:rsidRPr="00226C82" w:rsidRDefault="00226C82" w:rsidP="00226C82">
            <w:r w:rsidRPr="00226C82">
              <w:t>Strong, outgoing personality</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val="restart"/>
            <w:vAlign w:val="center"/>
          </w:tcPr>
          <w:p w:rsidR="00226C82" w:rsidRPr="004552B3" w:rsidRDefault="00226C82" w:rsidP="00226C82">
            <w:pPr>
              <w:jc w:val="center"/>
            </w:pPr>
            <w:proofErr w:type="spellStart"/>
            <w:r>
              <w:t>Appl</w:t>
            </w:r>
            <w:proofErr w:type="spellEnd"/>
            <w:r>
              <w:t>/</w:t>
            </w:r>
            <w:proofErr w:type="spellStart"/>
            <w:r>
              <w:t>Int</w:t>
            </w:r>
            <w:proofErr w:type="spellEnd"/>
            <w:r>
              <w:t>/Ref</w:t>
            </w:r>
          </w:p>
        </w:tc>
      </w:tr>
      <w:tr w:rsidR="00226C82" w:rsidTr="00226C82">
        <w:trPr>
          <w:trHeight w:val="340"/>
        </w:trPr>
        <w:tc>
          <w:tcPr>
            <w:tcW w:w="6124" w:type="dxa"/>
            <w:vAlign w:val="center"/>
          </w:tcPr>
          <w:p w:rsidR="00226C82" w:rsidRPr="00226C82" w:rsidRDefault="00226C82" w:rsidP="00226C82">
            <w:r w:rsidRPr="00226C82">
              <w:t>Passionate about achievement</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Strong team player/lead by example/ability to inspire others</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Ability to build effective and positive working relationships with students, colleagues and parents/carers</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Highest standards of professional conduct</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Organised and methodical approach to work/ability to prioritise and time manage effectively</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Enthusiastic and committed</w:t>
            </w:r>
          </w:p>
        </w:tc>
        <w:tc>
          <w:tcPr>
            <w:tcW w:w="1134" w:type="dxa"/>
            <w:vAlign w:val="center"/>
          </w:tcPr>
          <w:p w:rsidR="00226C82" w:rsidRPr="004E2A9E" w:rsidRDefault="00226C82" w:rsidP="00226C82">
            <w:pPr>
              <w:jc w:val="center"/>
              <w:rPr>
                <w:b/>
                <w:szCs w:val="24"/>
              </w:rP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Committed to safeguarding and promoting the welfare of children and young people</w:t>
            </w:r>
          </w:p>
        </w:tc>
        <w:tc>
          <w:tcPr>
            <w:tcW w:w="1134" w:type="dxa"/>
            <w:vAlign w:val="center"/>
          </w:tcPr>
          <w:p w:rsidR="00226C82" w:rsidRPr="004E2A9E" w:rsidRDefault="00226C82" w:rsidP="00226C82">
            <w:pPr>
              <w:jc w:val="center"/>
              <w:rPr>
                <w:b/>
                <w:szCs w:val="24"/>
              </w:rP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Committed to personal learning and development</w:t>
            </w:r>
          </w:p>
        </w:tc>
        <w:tc>
          <w:tcPr>
            <w:tcW w:w="1134" w:type="dxa"/>
            <w:vAlign w:val="center"/>
          </w:tcPr>
          <w:p w:rsidR="00226C82" w:rsidRPr="004E2A9E" w:rsidRDefault="00226C82" w:rsidP="00226C82">
            <w:pPr>
              <w:jc w:val="center"/>
              <w:rPr>
                <w:b/>
                <w:szCs w:val="24"/>
              </w:rP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Positive approach to problem solving</w:t>
            </w:r>
          </w:p>
        </w:tc>
        <w:tc>
          <w:tcPr>
            <w:tcW w:w="1134" w:type="dxa"/>
            <w:vAlign w:val="center"/>
          </w:tcPr>
          <w:p w:rsidR="00226C82" w:rsidRDefault="00226C82" w:rsidP="00226C82">
            <w:pPr>
              <w:jc w:val="center"/>
            </w:pPr>
          </w:p>
        </w:tc>
        <w:tc>
          <w:tcPr>
            <w:tcW w:w="1134" w:type="dxa"/>
            <w:vAlign w:val="center"/>
          </w:tcPr>
          <w:p w:rsidR="00226C82" w:rsidRPr="004552B3" w:rsidRDefault="00226C82" w:rsidP="00226C82">
            <w:pPr>
              <w:jc w:val="center"/>
            </w:pPr>
            <w:r w:rsidRPr="004E2A9E">
              <w:rPr>
                <w:b/>
                <w:szCs w:val="24"/>
              </w:rPr>
              <w:sym w:font="Wingdings 2" w:char="F050"/>
            </w:r>
          </w:p>
        </w:tc>
        <w:tc>
          <w:tcPr>
            <w:tcW w:w="1560" w:type="dxa"/>
            <w:vMerge/>
          </w:tcPr>
          <w:p w:rsidR="00226C82" w:rsidRPr="004552B3" w:rsidRDefault="00226C82" w:rsidP="00226C82">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Default="00747D18" w:rsidP="003D0A51">
            <w:pPr>
              <w:jc w:val="right"/>
              <w:rPr>
                <w:sz w:val="24"/>
                <w:szCs w:val="24"/>
              </w:rPr>
            </w:pPr>
            <w:proofErr w:type="spellStart"/>
            <w:r w:rsidRPr="004552B3">
              <w:rPr>
                <w:sz w:val="24"/>
                <w:szCs w:val="24"/>
              </w:rPr>
              <w:t>Appl</w:t>
            </w:r>
            <w:proofErr w:type="spellEnd"/>
            <w:r w:rsidRPr="004552B3">
              <w:rPr>
                <w:sz w:val="24"/>
                <w:szCs w:val="24"/>
              </w:rPr>
              <w:t xml:space="preserve"> = Application form</w:t>
            </w:r>
          </w:p>
        </w:tc>
        <w:tc>
          <w:tcPr>
            <w:tcW w:w="3511" w:type="dxa"/>
          </w:tcPr>
          <w:p w:rsidR="00747D18" w:rsidRDefault="00747D18" w:rsidP="003D0A51">
            <w:pPr>
              <w:jc w:val="center"/>
              <w:rPr>
                <w:sz w:val="24"/>
                <w:szCs w:val="24"/>
              </w:rPr>
            </w:pPr>
            <w:proofErr w:type="spellStart"/>
            <w:r w:rsidRPr="004552B3">
              <w:rPr>
                <w:sz w:val="24"/>
                <w:szCs w:val="24"/>
              </w:rPr>
              <w:t>Int</w:t>
            </w:r>
            <w:proofErr w:type="spellEnd"/>
            <w:r w:rsidRPr="004552B3">
              <w:rPr>
                <w:sz w:val="24"/>
                <w:szCs w:val="24"/>
              </w:rPr>
              <w:t xml:space="preserve"> = Interview</w:t>
            </w:r>
          </w:p>
        </w:tc>
        <w:tc>
          <w:tcPr>
            <w:tcW w:w="2835" w:type="dxa"/>
          </w:tcPr>
          <w:p w:rsidR="00747D18" w:rsidRDefault="00747D18" w:rsidP="003D0A51">
            <w:pPr>
              <w:rPr>
                <w:sz w:val="24"/>
                <w:szCs w:val="24"/>
              </w:rPr>
            </w:pPr>
            <w:r w:rsidRPr="004552B3">
              <w:rPr>
                <w:sz w:val="24"/>
                <w:szCs w:val="24"/>
              </w:rPr>
              <w:t>Ref = Reference</w:t>
            </w:r>
          </w:p>
        </w:tc>
      </w:tr>
    </w:tbl>
    <w:p w:rsidR="00747D18" w:rsidRDefault="00747D18" w:rsidP="00CB0F42"/>
    <w:sectPr w:rsidR="00747D18" w:rsidSect="009E003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765" w:rsidRDefault="00563765" w:rsidP="00563765">
      <w:pPr>
        <w:spacing w:after="0" w:line="240" w:lineRule="auto"/>
      </w:pPr>
      <w:r>
        <w:separator/>
      </w:r>
    </w:p>
  </w:endnote>
  <w:endnote w:type="continuationSeparator" w:id="0">
    <w:p w:rsidR="00563765" w:rsidRDefault="00563765"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65" w:rsidRDefault="00891CC6" w:rsidP="00563765">
    <w:pPr>
      <w:pStyle w:val="Footer"/>
      <w:jc w:val="right"/>
    </w:pPr>
    <w: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765" w:rsidRDefault="00563765" w:rsidP="00563765">
      <w:pPr>
        <w:spacing w:after="0" w:line="240" w:lineRule="auto"/>
      </w:pPr>
      <w:r>
        <w:separator/>
      </w:r>
    </w:p>
  </w:footnote>
  <w:footnote w:type="continuationSeparator" w:id="0">
    <w:p w:rsidR="00563765" w:rsidRDefault="00563765"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14624"/>
    <w:multiLevelType w:val="hybridMultilevel"/>
    <w:tmpl w:val="19C85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92607"/>
    <w:multiLevelType w:val="hybridMultilevel"/>
    <w:tmpl w:val="11D6B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7"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96E1B"/>
    <w:multiLevelType w:val="hybridMultilevel"/>
    <w:tmpl w:val="9780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75566"/>
    <w:multiLevelType w:val="hybridMultilevel"/>
    <w:tmpl w:val="C066B722"/>
    <w:lvl w:ilvl="0" w:tplc="B4E664A0">
      <w:numFmt w:val="bullet"/>
      <w:lvlText w:val=""/>
      <w:lvlJc w:val="left"/>
      <w:pPr>
        <w:ind w:left="2880" w:hanging="360"/>
      </w:pPr>
      <w:rPr>
        <w:rFonts w:ascii="Symbol" w:eastAsiaTheme="minorHAnsi" w:hAnsi="Symbol"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0"/>
  </w:num>
  <w:num w:numId="6">
    <w:abstractNumId w:val="12"/>
  </w:num>
  <w:num w:numId="7">
    <w:abstractNumId w:val="9"/>
  </w:num>
  <w:num w:numId="8">
    <w:abstractNumId w:val="10"/>
  </w:num>
  <w:num w:numId="9">
    <w:abstractNumId w:val="13"/>
  </w:num>
  <w:num w:numId="10">
    <w:abstractNumId w:val="5"/>
  </w:num>
  <w:num w:numId="11">
    <w:abstractNumId w:val="11"/>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32B9A"/>
    <w:rsid w:val="00042EA0"/>
    <w:rsid w:val="000706E3"/>
    <w:rsid w:val="00087B2E"/>
    <w:rsid w:val="000905FB"/>
    <w:rsid w:val="000D2E79"/>
    <w:rsid w:val="00117A59"/>
    <w:rsid w:val="001216DD"/>
    <w:rsid w:val="001A2DCF"/>
    <w:rsid w:val="00226C82"/>
    <w:rsid w:val="00266901"/>
    <w:rsid w:val="00345512"/>
    <w:rsid w:val="003D305B"/>
    <w:rsid w:val="003E728C"/>
    <w:rsid w:val="00401084"/>
    <w:rsid w:val="00407B1B"/>
    <w:rsid w:val="00411391"/>
    <w:rsid w:val="0046555C"/>
    <w:rsid w:val="00514FDB"/>
    <w:rsid w:val="00532CB2"/>
    <w:rsid w:val="00563765"/>
    <w:rsid w:val="005A2F1B"/>
    <w:rsid w:val="005F32C6"/>
    <w:rsid w:val="006B3DB5"/>
    <w:rsid w:val="006C2DDB"/>
    <w:rsid w:val="006D5062"/>
    <w:rsid w:val="006F2740"/>
    <w:rsid w:val="006F697C"/>
    <w:rsid w:val="007062CB"/>
    <w:rsid w:val="00747D18"/>
    <w:rsid w:val="00756C74"/>
    <w:rsid w:val="00782815"/>
    <w:rsid w:val="00843398"/>
    <w:rsid w:val="00891CC6"/>
    <w:rsid w:val="008F7DC6"/>
    <w:rsid w:val="00914B12"/>
    <w:rsid w:val="00932507"/>
    <w:rsid w:val="00962A6E"/>
    <w:rsid w:val="00962E19"/>
    <w:rsid w:val="009B3E55"/>
    <w:rsid w:val="009D7FFA"/>
    <w:rsid w:val="009E0033"/>
    <w:rsid w:val="00A24C0B"/>
    <w:rsid w:val="00AD59DD"/>
    <w:rsid w:val="00B94293"/>
    <w:rsid w:val="00BA405D"/>
    <w:rsid w:val="00C662F9"/>
    <w:rsid w:val="00C81A7F"/>
    <w:rsid w:val="00CA7916"/>
    <w:rsid w:val="00CB0F42"/>
    <w:rsid w:val="00CD217F"/>
    <w:rsid w:val="00D34A02"/>
    <w:rsid w:val="00D36736"/>
    <w:rsid w:val="00D860FA"/>
    <w:rsid w:val="00DA6E34"/>
    <w:rsid w:val="00DB4490"/>
    <w:rsid w:val="00DC558F"/>
    <w:rsid w:val="00E02357"/>
    <w:rsid w:val="00E409FB"/>
    <w:rsid w:val="00E43638"/>
    <w:rsid w:val="00E849D4"/>
    <w:rsid w:val="00E90E19"/>
    <w:rsid w:val="00EC7783"/>
    <w:rsid w:val="00EC7FEC"/>
    <w:rsid w:val="00ED2B7E"/>
    <w:rsid w:val="00EE3D9A"/>
    <w:rsid w:val="00F05019"/>
    <w:rsid w:val="00F1709B"/>
    <w:rsid w:val="00F21016"/>
    <w:rsid w:val="00F77B79"/>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6040"/>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MATKIN Vicky</cp:lastModifiedBy>
  <cp:revision>5</cp:revision>
  <dcterms:created xsi:type="dcterms:W3CDTF">2021-03-23T10:37:00Z</dcterms:created>
  <dcterms:modified xsi:type="dcterms:W3CDTF">2021-04-26T16:42:00Z</dcterms:modified>
</cp:coreProperties>
</file>