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120ECC0" w:rsidR="00D65D85" w:rsidRPr="00C97941" w:rsidRDefault="009606A4" w:rsidP="00F054AE">
            <w:pPr>
              <w:rPr>
                <w:rFonts w:asciiTheme="majorHAnsi" w:eastAsia="SimSun" w:hAnsiTheme="majorHAnsi" w:cstheme="majorHAnsi"/>
                <w:bCs/>
              </w:rPr>
            </w:pPr>
            <w:r>
              <w:rPr>
                <w:rFonts w:asciiTheme="majorHAnsi" w:eastAsia="SimSun" w:hAnsiTheme="majorHAnsi" w:cstheme="majorHAnsi"/>
                <w:bCs/>
              </w:rPr>
              <w:t>The Bewdley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7CFDAD86" w:rsidR="00D65D85" w:rsidRPr="00C97941" w:rsidRDefault="009606A4" w:rsidP="00F054AE">
            <w:pPr>
              <w:rPr>
                <w:rFonts w:asciiTheme="majorHAnsi" w:eastAsia="SimSun" w:hAnsiTheme="majorHAnsi" w:cstheme="majorHAnsi"/>
                <w:bCs/>
              </w:rPr>
            </w:pPr>
            <w:r>
              <w:rPr>
                <w:rFonts w:asciiTheme="majorHAnsi" w:eastAsia="SimSun" w:hAnsiTheme="majorHAnsi" w:cstheme="majorHAnsi"/>
                <w:bCs/>
              </w:rPr>
              <w:t>Teacher of English</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D44060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r w:rsidR="00ED605D">
        <w:rPr>
          <w:rFonts w:ascii="Calibri Light" w:eastAsia="SimSun" w:hAnsi="Calibri Light" w:cs="Calibri Light"/>
          <w:bCs/>
        </w:rPr>
        <w:t>lol@bewdley.worcs.sch.uk</w:t>
      </w:r>
    </w:p>
    <w:p w14:paraId="1350CC56" w14:textId="4E49D2CC"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r w:rsidR="00ED605D">
        <w:rPr>
          <w:rFonts w:ascii="Calibri Light" w:eastAsia="SimSun" w:hAnsi="Calibri Light" w:cs="Calibri Light"/>
          <w:bCs/>
        </w:rPr>
        <w:t>22/10/2024 9.00am</w:t>
      </w: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weeks time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9606A4">
              <w:rPr>
                <w:rFonts w:ascii="Calibri Light" w:eastAsia="SimSun" w:hAnsi="Calibri Light" w:cs="Calibri Light"/>
                <w:bCs/>
              </w:rPr>
            </w:r>
            <w:r w:rsidR="009606A4">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9606A4">
              <w:rPr>
                <w:rFonts w:ascii="Calibri Light" w:eastAsia="SimSun" w:hAnsi="Calibri Light" w:cs="Calibri Light"/>
                <w:bCs/>
              </w:rPr>
            </w:r>
            <w:r w:rsidR="009606A4">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9606A4"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9606A4"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9606A4"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9606A4"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9606A4"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9606A4"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606A4"/>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D605D"/>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 ds:uri="ff2830bf-dee1-4e25-b063-3a77ca86c1ab"/>
  </ds:schemaRefs>
</ds:datastoreItem>
</file>

<file path=customXml/itemProps3.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4.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5.xml><?xml version="1.0" encoding="utf-8"?>
<ds:datastoreItem xmlns:ds="http://schemas.openxmlformats.org/officeDocument/2006/customXml" ds:itemID="{721D2AE5-5A0A-4733-8F9E-4680A206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Mrs Oliver</cp:lastModifiedBy>
  <cp:revision>6</cp:revision>
  <cp:lastPrinted>2021-05-14T09:15:00Z</cp:lastPrinted>
  <dcterms:created xsi:type="dcterms:W3CDTF">2022-09-23T15:16:00Z</dcterms:created>
  <dcterms:modified xsi:type="dcterms:W3CDTF">2024-10-10T13:18:00Z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