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6A" w:rsidRDefault="003D4DD6">
      <w:pPr>
        <w:ind w:left="0" w:hanging="2"/>
        <w:rPr>
          <w:rFonts w:ascii="Arial" w:eastAsia="Arial" w:hAnsi="Arial" w:cs="Arial"/>
        </w:rPr>
      </w:pP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1181100</wp:posOffset>
                </wp:positionH>
                <wp:positionV relativeFrom="paragraph">
                  <wp:posOffset>-101599</wp:posOffset>
                </wp:positionV>
                <wp:extent cx="3484245" cy="69913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608640" y="3435195"/>
                          <a:ext cx="3474720" cy="689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3596A" w:rsidRDefault="00B3596A">
                            <w:pPr>
                              <w:spacing w:line="240" w:lineRule="auto"/>
                              <w:ind w:left="0" w:right="115" w:hanging="2"/>
                            </w:pPr>
                          </w:p>
                          <w:p w:rsidR="00B3596A" w:rsidRDefault="003D4DD6">
                            <w:pPr>
                              <w:spacing w:line="240" w:lineRule="auto"/>
                              <w:ind w:left="0" w:right="115" w:hanging="2"/>
                              <w:jc w:val="center"/>
                            </w:pPr>
                            <w:r>
                              <w:rPr>
                                <w:rFonts w:ascii="Arial" w:eastAsia="Arial" w:hAnsi="Arial" w:cs="Arial"/>
                                <w:b/>
                                <w:color w:val="000000"/>
                                <w:sz w:val="24"/>
                              </w:rPr>
                              <w:t>ENGLISH DEPARTMENT</w:t>
                            </w:r>
                          </w:p>
                          <w:p w:rsidR="00B3596A" w:rsidRDefault="00B3596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-101599</wp:posOffset>
                </wp:positionV>
                <wp:extent cx="3484245" cy="6991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84245" cy="699135"/>
                        </a:xfrm>
                        <a:prstGeom prst="rect"/>
                        <a:ln/>
                      </pic:spPr>
                    </pic:pic>
                  </a:graphicData>
                </a:graphic>
              </wp:anchor>
            </w:drawing>
          </mc:Fallback>
        </mc:AlternateContent>
      </w:r>
    </w:p>
    <w:p w:rsidR="00B3596A" w:rsidRDefault="00B3596A">
      <w:pPr>
        <w:widowControl/>
        <w:pBdr>
          <w:top w:val="nil"/>
          <w:left w:val="nil"/>
          <w:bottom w:val="nil"/>
          <w:right w:val="nil"/>
          <w:between w:val="nil"/>
        </w:pBdr>
        <w:spacing w:line="240" w:lineRule="auto"/>
        <w:ind w:left="0" w:hanging="2"/>
        <w:jc w:val="center"/>
        <w:rPr>
          <w:rFonts w:ascii="Arial" w:eastAsia="Arial" w:hAnsi="Arial" w:cs="Arial"/>
          <w:color w:val="000000"/>
          <w:sz w:val="24"/>
          <w:szCs w:val="24"/>
        </w:rPr>
      </w:pPr>
    </w:p>
    <w:p w:rsidR="00B3596A" w:rsidRDefault="003D4DD6">
      <w:pPr>
        <w:widowControl/>
        <w:pBdr>
          <w:top w:val="nil"/>
          <w:left w:val="nil"/>
          <w:bottom w:val="nil"/>
          <w:right w:val="nil"/>
          <w:between w:val="nil"/>
        </w:pBdr>
        <w:spacing w:line="240" w:lineRule="auto"/>
        <w:ind w:left="0" w:hanging="2"/>
        <w:rPr>
          <w:rFonts w:ascii="Arial" w:eastAsia="Arial" w:hAnsi="Arial" w:cs="Arial"/>
          <w:color w:val="000000"/>
          <w:sz w:val="24"/>
          <w:szCs w:val="24"/>
        </w:rPr>
      </w:pP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-609599</wp:posOffset>
                </wp:positionV>
                <wp:extent cx="1332865" cy="1231265"/>
                <wp:effectExtent l="0" t="0" r="0" b="0"/>
                <wp:wrapNone/>
                <wp:docPr id="1" name=""/>
                <wp:cNvGraphicFramePr/>
                <a:graphic xmlns:a="http://schemas.openxmlformats.org/drawingml/2006/main">
                  <a:graphicData uri="http://schemas.microsoft.com/office/word/2010/wordprocessingGroup">
                    <wpg:wgp>
                      <wpg:cNvGrpSpPr/>
                      <wpg:grpSpPr>
                        <a:xfrm>
                          <a:off x="0" y="0"/>
                          <a:ext cx="1332865" cy="1231265"/>
                          <a:chOff x="4679550" y="3164350"/>
                          <a:chExt cx="1332900" cy="1231300"/>
                        </a:xfrm>
                      </wpg:grpSpPr>
                      <wpg:grpSp>
                        <wpg:cNvPr id="3" name="Group 3"/>
                        <wpg:cNvGrpSpPr/>
                        <wpg:grpSpPr>
                          <a:xfrm>
                            <a:off x="4679568" y="3164368"/>
                            <a:ext cx="1332865" cy="1231265"/>
                            <a:chOff x="2400" y="4916"/>
                            <a:chExt cx="2099" cy="1864"/>
                          </a:xfrm>
                        </wpg:grpSpPr>
                        <wps:wsp>
                          <wps:cNvPr id="4" name="Rectangle 4"/>
                          <wps:cNvSpPr/>
                          <wps:spPr>
                            <a:xfrm>
                              <a:off x="2400" y="4916"/>
                              <a:ext cx="2075" cy="1850"/>
                            </a:xfrm>
                            <a:prstGeom prst="rect">
                              <a:avLst/>
                            </a:prstGeom>
                            <a:noFill/>
                            <a:ln>
                              <a:noFill/>
                            </a:ln>
                          </wps:spPr>
                          <wps:txbx>
                            <w:txbxContent>
                              <w:p w:rsidR="00B3596A" w:rsidRDefault="00B3596A">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4" descr="Broxbourne new letter logo"/>
                            <pic:cNvPicPr preferRelativeResize="0"/>
                          </pic:nvPicPr>
                          <pic:blipFill rotWithShape="1">
                            <a:blip r:embed="rId9">
                              <a:alphaModFix/>
                            </a:blip>
                            <a:srcRect/>
                            <a:stretch/>
                          </pic:blipFill>
                          <pic:spPr>
                            <a:xfrm>
                              <a:off x="2802" y="4916"/>
                              <a:ext cx="1293" cy="1457"/>
                            </a:xfrm>
                            <a:prstGeom prst="rect">
                              <a:avLst/>
                            </a:prstGeom>
                            <a:noFill/>
                            <a:ln>
                              <a:noFill/>
                            </a:ln>
                          </pic:spPr>
                        </pic:pic>
                        <wps:wsp>
                          <wps:cNvPr id="6" name="Rectangle 6"/>
                          <wps:cNvSpPr/>
                          <wps:spPr>
                            <a:xfrm>
                              <a:off x="2400" y="6313"/>
                              <a:ext cx="2099" cy="467"/>
                            </a:xfrm>
                            <a:prstGeom prst="rect">
                              <a:avLst/>
                            </a:prstGeom>
                            <a:noFill/>
                            <a:ln>
                              <a:noFill/>
                            </a:ln>
                          </wps:spPr>
                          <wps:txbx>
                            <w:txbxContent>
                              <w:p w:rsidR="00B3596A" w:rsidRDefault="00B3596A">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-609599</wp:posOffset>
                </wp:positionV>
                <wp:extent cx="1332865" cy="123126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332865" cy="1231265"/>
                        </a:xfrm>
                        <a:prstGeom prst="rect"/>
                        <a:ln/>
                      </pic:spPr>
                    </pic:pic>
                  </a:graphicData>
                </a:graphic>
              </wp:anchor>
            </w:drawing>
          </mc:Fallback>
        </mc:AlternateContent>
      </w:r>
    </w:p>
    <w:p w:rsidR="00B3596A" w:rsidRDefault="00B3596A">
      <w:pPr>
        <w:widowControl/>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B3596A" w:rsidRDefault="00B3596A">
      <w:pPr>
        <w:widowControl/>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B3596A" w:rsidRDefault="00B3596A">
      <w:pPr>
        <w:widowControl/>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B3596A" w:rsidRDefault="003D4DD6">
      <w:pPr>
        <w:widowControl/>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The Staff</w:t>
      </w: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English department is a team of </w:t>
      </w:r>
      <w:r>
        <w:rPr>
          <w:rFonts w:ascii="Arial" w:eastAsia="Arial" w:hAnsi="Arial" w:cs="Arial"/>
          <w:sz w:val="22"/>
          <w:szCs w:val="22"/>
        </w:rPr>
        <w:t>thirteen</w:t>
      </w:r>
      <w:r>
        <w:rPr>
          <w:rFonts w:ascii="Arial" w:eastAsia="Arial" w:hAnsi="Arial" w:cs="Arial"/>
          <w:color w:val="000000"/>
          <w:sz w:val="22"/>
          <w:szCs w:val="22"/>
        </w:rPr>
        <w:t xml:space="preserve"> highly qualified teachers who are English specialists.  There is a core of experienced teachers and a variety of ages</w:t>
      </w:r>
      <w:r>
        <w:rPr>
          <w:rFonts w:ascii="Arial" w:eastAsia="Arial" w:hAnsi="Arial" w:cs="Arial"/>
          <w:sz w:val="22"/>
          <w:szCs w:val="22"/>
        </w:rPr>
        <w:t xml:space="preserve"> and t</w:t>
      </w:r>
      <w:r>
        <w:rPr>
          <w:rFonts w:ascii="Arial" w:eastAsia="Arial" w:hAnsi="Arial" w:cs="Arial"/>
          <w:color w:val="000000"/>
          <w:sz w:val="22"/>
          <w:szCs w:val="22"/>
        </w:rPr>
        <w:t xml:space="preserve">he department is </w:t>
      </w:r>
      <w:proofErr w:type="spellStart"/>
      <w:r>
        <w:rPr>
          <w:rFonts w:ascii="Arial" w:eastAsia="Arial" w:hAnsi="Arial" w:cs="Arial"/>
          <w:color w:val="000000"/>
          <w:sz w:val="22"/>
          <w:szCs w:val="22"/>
        </w:rPr>
        <w:t>recognised</w:t>
      </w:r>
      <w:proofErr w:type="spellEnd"/>
      <w:r>
        <w:rPr>
          <w:rFonts w:ascii="Arial" w:eastAsia="Arial" w:hAnsi="Arial" w:cs="Arial"/>
          <w:color w:val="000000"/>
          <w:sz w:val="22"/>
          <w:szCs w:val="22"/>
        </w:rPr>
        <w:t xml:space="preserve"> by the Senior Leadership Team as being a model for cooperative teamwork and strong teaching.  All colleagues teach across the age and ability range.  This is a most successful English department which </w:t>
      </w:r>
      <w:proofErr w:type="spellStart"/>
      <w:r>
        <w:rPr>
          <w:rFonts w:ascii="Arial" w:eastAsia="Arial" w:hAnsi="Arial" w:cs="Arial"/>
          <w:color w:val="000000"/>
          <w:sz w:val="22"/>
          <w:szCs w:val="22"/>
        </w:rPr>
        <w:t>endea</w:t>
      </w:r>
      <w:bookmarkStart w:id="0" w:name="_GoBack"/>
      <w:bookmarkEnd w:id="0"/>
      <w:r>
        <w:rPr>
          <w:rFonts w:ascii="Arial" w:eastAsia="Arial" w:hAnsi="Arial" w:cs="Arial"/>
          <w:color w:val="000000"/>
          <w:sz w:val="22"/>
          <w:szCs w:val="22"/>
        </w:rPr>
        <w:t>vours</w:t>
      </w:r>
      <w:proofErr w:type="spellEnd"/>
      <w:r>
        <w:rPr>
          <w:rFonts w:ascii="Arial" w:eastAsia="Arial" w:hAnsi="Arial" w:cs="Arial"/>
          <w:color w:val="000000"/>
          <w:sz w:val="22"/>
          <w:szCs w:val="22"/>
        </w:rPr>
        <w:t xml:space="preserve"> also to be a cre</w:t>
      </w:r>
      <w:r>
        <w:rPr>
          <w:rFonts w:ascii="Arial" w:eastAsia="Arial" w:hAnsi="Arial" w:cs="Arial"/>
          <w:color w:val="000000"/>
          <w:sz w:val="22"/>
          <w:szCs w:val="22"/>
        </w:rPr>
        <w:t>ative and responsive one.</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Accommodation</w:t>
      </w: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T</w:t>
      </w:r>
      <w:r>
        <w:rPr>
          <w:rFonts w:ascii="Arial" w:eastAsia="Arial" w:hAnsi="Arial" w:cs="Arial"/>
          <w:color w:val="000000"/>
          <w:sz w:val="22"/>
          <w:szCs w:val="22"/>
        </w:rPr>
        <w:t xml:space="preserve">eachers have their own dedicated English room and all classrooms have interactive screens.   </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Resources</w:t>
      </w: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department has a good stock of novels, plays, poetry and general English resource books.  We structure KS3 teaching into a series of units that embrace a </w:t>
      </w:r>
      <w:r>
        <w:rPr>
          <w:rFonts w:ascii="Arial" w:eastAsia="Arial" w:hAnsi="Arial" w:cs="Arial"/>
          <w:sz w:val="22"/>
          <w:szCs w:val="22"/>
        </w:rPr>
        <w:t>diverse range of</w:t>
      </w:r>
      <w:r>
        <w:rPr>
          <w:rFonts w:ascii="Arial" w:eastAsia="Arial" w:hAnsi="Arial" w:cs="Arial"/>
          <w:color w:val="000000"/>
          <w:sz w:val="22"/>
          <w:szCs w:val="22"/>
        </w:rPr>
        <w:t xml:space="preserve"> writing and these are well supported by teacher-produced materials which are bank</w:t>
      </w:r>
      <w:r>
        <w:rPr>
          <w:rFonts w:ascii="Arial" w:eastAsia="Arial" w:hAnsi="Arial" w:cs="Arial"/>
          <w:color w:val="000000"/>
          <w:sz w:val="22"/>
          <w:szCs w:val="22"/>
        </w:rPr>
        <w:t xml:space="preserve">ed centrally. We have </w:t>
      </w:r>
      <w:r>
        <w:rPr>
          <w:rFonts w:ascii="Arial" w:eastAsia="Arial" w:hAnsi="Arial" w:cs="Arial"/>
          <w:sz w:val="22"/>
          <w:szCs w:val="22"/>
        </w:rPr>
        <w:t>engaging</w:t>
      </w:r>
      <w:r>
        <w:rPr>
          <w:rFonts w:ascii="Arial" w:eastAsia="Arial" w:hAnsi="Arial" w:cs="Arial"/>
          <w:color w:val="000000"/>
          <w:sz w:val="22"/>
          <w:szCs w:val="22"/>
        </w:rPr>
        <w:t xml:space="preserve"> schemes of work</w:t>
      </w:r>
      <w:r>
        <w:rPr>
          <w:rFonts w:ascii="Arial" w:eastAsia="Arial" w:hAnsi="Arial" w:cs="Arial"/>
          <w:sz w:val="22"/>
          <w:szCs w:val="22"/>
        </w:rPr>
        <w:t xml:space="preserve"> </w:t>
      </w:r>
      <w:r>
        <w:rPr>
          <w:rFonts w:ascii="Arial" w:eastAsia="Arial" w:hAnsi="Arial" w:cs="Arial"/>
          <w:color w:val="000000"/>
          <w:sz w:val="22"/>
          <w:szCs w:val="22"/>
        </w:rPr>
        <w:t>for the</w:t>
      </w:r>
      <w:r>
        <w:rPr>
          <w:rFonts w:ascii="Arial" w:eastAsia="Arial" w:hAnsi="Arial" w:cs="Arial"/>
          <w:sz w:val="22"/>
          <w:szCs w:val="22"/>
        </w:rPr>
        <w:t xml:space="preserve"> </w:t>
      </w:r>
      <w:r>
        <w:rPr>
          <w:rFonts w:ascii="Arial" w:eastAsia="Arial" w:hAnsi="Arial" w:cs="Arial"/>
          <w:color w:val="000000"/>
          <w:sz w:val="22"/>
          <w:szCs w:val="22"/>
        </w:rPr>
        <w:t xml:space="preserve">GCSE English Language and Literature specifications and teachers use these in a collaborative way.  </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roofErr w:type="spellStart"/>
      <w:r>
        <w:rPr>
          <w:rFonts w:ascii="Arial" w:eastAsia="Arial" w:hAnsi="Arial" w:cs="Arial"/>
          <w:b/>
          <w:color w:val="000000"/>
          <w:sz w:val="22"/>
          <w:szCs w:val="22"/>
          <w:u w:val="single"/>
        </w:rPr>
        <w:t>Extra Curricular</w:t>
      </w:r>
      <w:proofErr w:type="spellEnd"/>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There are several reading initiatives and events run in association with the Libra</w:t>
      </w:r>
      <w:r>
        <w:rPr>
          <w:rFonts w:ascii="Arial" w:eastAsia="Arial" w:hAnsi="Arial" w:cs="Arial"/>
          <w:color w:val="000000"/>
          <w:sz w:val="22"/>
          <w:szCs w:val="22"/>
        </w:rPr>
        <w:t>r</w:t>
      </w:r>
      <w:r>
        <w:rPr>
          <w:rFonts w:ascii="Arial" w:eastAsia="Arial" w:hAnsi="Arial" w:cs="Arial"/>
          <w:sz w:val="22"/>
          <w:szCs w:val="22"/>
        </w:rPr>
        <w:t>y in order to further develop</w:t>
      </w:r>
      <w:r>
        <w:rPr>
          <w:rFonts w:ascii="Arial" w:eastAsia="Arial" w:hAnsi="Arial" w:cs="Arial"/>
          <w:color w:val="000000"/>
          <w:sz w:val="22"/>
          <w:szCs w:val="22"/>
        </w:rPr>
        <w:t xml:space="preserve"> </w:t>
      </w:r>
      <w:r>
        <w:rPr>
          <w:rFonts w:ascii="Arial" w:eastAsia="Arial" w:hAnsi="Arial" w:cs="Arial"/>
          <w:sz w:val="22"/>
          <w:szCs w:val="22"/>
        </w:rPr>
        <w:t xml:space="preserve">pupils’ </w:t>
      </w:r>
      <w:r>
        <w:rPr>
          <w:rFonts w:ascii="Arial" w:eastAsia="Arial" w:hAnsi="Arial" w:cs="Arial"/>
          <w:color w:val="000000"/>
          <w:sz w:val="22"/>
          <w:szCs w:val="22"/>
        </w:rPr>
        <w:t xml:space="preserve">reading habits and skills. The department also </w:t>
      </w:r>
      <w:proofErr w:type="spellStart"/>
      <w:r>
        <w:rPr>
          <w:rFonts w:ascii="Arial" w:eastAsia="Arial" w:hAnsi="Arial" w:cs="Arial"/>
          <w:color w:val="000000"/>
          <w:sz w:val="22"/>
          <w:szCs w:val="22"/>
        </w:rPr>
        <w:t>organises</w:t>
      </w:r>
      <w:proofErr w:type="spellEnd"/>
      <w:r>
        <w:rPr>
          <w:rFonts w:ascii="Arial" w:eastAsia="Arial" w:hAnsi="Arial" w:cs="Arial"/>
          <w:color w:val="000000"/>
          <w:sz w:val="22"/>
          <w:szCs w:val="22"/>
        </w:rPr>
        <w:t xml:space="preserve"> extra-curricular experiences to support learning and encourage enjoyment of live performance.   We are very keen to give our pupils the ‘cultural capital’ they </w:t>
      </w:r>
      <w:r>
        <w:rPr>
          <w:rFonts w:ascii="Arial" w:eastAsia="Arial" w:hAnsi="Arial" w:cs="Arial"/>
          <w:color w:val="000000"/>
          <w:sz w:val="22"/>
          <w:szCs w:val="22"/>
        </w:rPr>
        <w:t xml:space="preserve">will benefit from throughout their lives. </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Curriculum Provision</w:t>
      </w: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 Years 7</w:t>
      </w:r>
      <w:r>
        <w:rPr>
          <w:rFonts w:ascii="Arial" w:eastAsia="Arial" w:hAnsi="Arial" w:cs="Arial"/>
          <w:sz w:val="22"/>
          <w:szCs w:val="22"/>
        </w:rPr>
        <w:t>,</w:t>
      </w:r>
      <w:r>
        <w:rPr>
          <w:rFonts w:ascii="Arial" w:eastAsia="Arial" w:hAnsi="Arial" w:cs="Arial"/>
          <w:color w:val="000000"/>
          <w:sz w:val="22"/>
          <w:szCs w:val="22"/>
        </w:rPr>
        <w:t xml:space="preserve"> 8 a</w:t>
      </w:r>
      <w:r>
        <w:rPr>
          <w:rFonts w:ascii="Arial" w:eastAsia="Arial" w:hAnsi="Arial" w:cs="Arial"/>
          <w:sz w:val="22"/>
          <w:szCs w:val="22"/>
        </w:rPr>
        <w:t>nd 9</w:t>
      </w:r>
      <w:r>
        <w:rPr>
          <w:rFonts w:ascii="Arial" w:eastAsia="Arial" w:hAnsi="Arial" w:cs="Arial"/>
          <w:color w:val="000000"/>
          <w:sz w:val="22"/>
          <w:szCs w:val="22"/>
        </w:rPr>
        <w:t xml:space="preserve">, pupils are taught in mixed-ability groups, each containing 28 pupils. All pupils follow a common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xml:space="preserve"> of work, while varying in pace and emphasis according to the ne</w:t>
      </w:r>
      <w:r>
        <w:rPr>
          <w:rFonts w:ascii="Arial" w:eastAsia="Arial" w:hAnsi="Arial" w:cs="Arial"/>
          <w:color w:val="000000"/>
          <w:sz w:val="22"/>
          <w:szCs w:val="22"/>
        </w:rPr>
        <w:t xml:space="preserve">eds of different groups.  Some of our students (who are low prior </w:t>
      </w:r>
      <w:proofErr w:type="spellStart"/>
      <w:r>
        <w:rPr>
          <w:rFonts w:ascii="Arial" w:eastAsia="Arial" w:hAnsi="Arial" w:cs="Arial"/>
          <w:color w:val="000000"/>
          <w:sz w:val="22"/>
          <w:szCs w:val="22"/>
        </w:rPr>
        <w:t>attainers</w:t>
      </w:r>
      <w:proofErr w:type="spellEnd"/>
      <w:r>
        <w:rPr>
          <w:rFonts w:ascii="Arial" w:eastAsia="Arial" w:hAnsi="Arial" w:cs="Arial"/>
          <w:color w:val="000000"/>
          <w:sz w:val="22"/>
          <w:szCs w:val="22"/>
        </w:rPr>
        <w:t>) also benefit from extra English lessons three times per fortnight.</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 the school’s two week timetable, pupils at KS3 have seven one hour periods of English.  One period a fortnig</w:t>
      </w:r>
      <w:r>
        <w:rPr>
          <w:rFonts w:ascii="Arial" w:eastAsia="Arial" w:hAnsi="Arial" w:cs="Arial"/>
          <w:color w:val="000000"/>
          <w:sz w:val="22"/>
          <w:szCs w:val="22"/>
        </w:rPr>
        <w:t>ht affords guaranteed access to the fiction library for reading development.  A Drama and Music complex provides the main facility for timetabled Drama.  There is the opportunity for English teachers to also teach Drama.</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 Years 10 and 11 pupils are allo</w:t>
      </w:r>
      <w:r>
        <w:rPr>
          <w:rFonts w:ascii="Arial" w:eastAsia="Arial" w:hAnsi="Arial" w:cs="Arial"/>
          <w:color w:val="000000"/>
          <w:sz w:val="22"/>
          <w:szCs w:val="22"/>
        </w:rPr>
        <w:t>cated seven periods fortnightly for English.  Year 10 and 11 pupils are studying for AQA English Language and English Literature GCSEs.  Results at KS4 are always above the national average and reflect the high quality of teaching from colleagues.</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 Year</w:t>
      </w:r>
      <w:r>
        <w:rPr>
          <w:rFonts w:ascii="Arial" w:eastAsia="Arial" w:hAnsi="Arial" w:cs="Arial"/>
          <w:color w:val="000000"/>
          <w:sz w:val="22"/>
          <w:szCs w:val="22"/>
        </w:rPr>
        <w:t xml:space="preserve">s 12 and 13, provision is </w:t>
      </w:r>
      <w:proofErr w:type="spellStart"/>
      <w:r>
        <w:rPr>
          <w:rFonts w:ascii="Arial" w:eastAsia="Arial" w:hAnsi="Arial" w:cs="Arial"/>
          <w:color w:val="000000"/>
          <w:sz w:val="22"/>
          <w:szCs w:val="22"/>
        </w:rPr>
        <w:t>Eduqas</w:t>
      </w:r>
      <w:proofErr w:type="spellEnd"/>
      <w:r>
        <w:rPr>
          <w:rFonts w:ascii="Arial" w:eastAsia="Arial" w:hAnsi="Arial" w:cs="Arial"/>
          <w:color w:val="000000"/>
          <w:sz w:val="22"/>
          <w:szCs w:val="22"/>
        </w:rPr>
        <w:t xml:space="preserve"> English Literature A-Level.  From year to year, take up varies between 30 and 60 students. </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3D4DD6">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Letter of Application</w:t>
      </w:r>
    </w:p>
    <w:p w:rsidR="00B3596A" w:rsidRDefault="003D4DD6">
      <w:pPr>
        <w:ind w:left="0" w:hanging="2"/>
        <w:jc w:val="both"/>
        <w:rPr>
          <w:rFonts w:ascii="Arial" w:eastAsia="Arial" w:hAnsi="Arial" w:cs="Arial"/>
          <w:sz w:val="22"/>
          <w:szCs w:val="22"/>
        </w:rPr>
      </w:pPr>
      <w:r>
        <w:rPr>
          <w:rFonts w:ascii="Arial" w:eastAsia="Arial" w:hAnsi="Arial" w:cs="Arial"/>
          <w:sz w:val="22"/>
          <w:szCs w:val="22"/>
        </w:rPr>
        <w:t>In their letter of application, which should not exceed two sides of A4, applicants should, amongst other po</w:t>
      </w:r>
      <w:r>
        <w:rPr>
          <w:rFonts w:ascii="Arial" w:eastAsia="Arial" w:hAnsi="Arial" w:cs="Arial"/>
          <w:sz w:val="22"/>
          <w:szCs w:val="22"/>
        </w:rPr>
        <w:t>ints, describe what constitutes good teaching and learning in English.</w:t>
      </w: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3596A" w:rsidRDefault="00B3596A">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B3596A">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284" w:left="1440" w:header="648" w:footer="10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4DD6">
      <w:pPr>
        <w:spacing w:line="240" w:lineRule="auto"/>
        <w:ind w:left="0" w:hanging="2"/>
      </w:pPr>
      <w:r>
        <w:separator/>
      </w:r>
    </w:p>
  </w:endnote>
  <w:endnote w:type="continuationSeparator" w:id="0">
    <w:p w:rsidR="00000000" w:rsidRDefault="003D4D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D6" w:rsidRDefault="003D4DD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6A" w:rsidRPr="003D4DD6" w:rsidRDefault="003D4DD6" w:rsidP="003D4DD6">
    <w:pPr>
      <w:pStyle w:val="Footer"/>
      <w:ind w:left="0" w:hanging="2"/>
    </w:pPr>
    <w:r>
      <w:t>November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D6" w:rsidRDefault="003D4DD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4DD6">
      <w:pPr>
        <w:spacing w:line="240" w:lineRule="auto"/>
        <w:ind w:left="0" w:hanging="2"/>
      </w:pPr>
      <w:r>
        <w:separator/>
      </w:r>
    </w:p>
  </w:footnote>
  <w:footnote w:type="continuationSeparator" w:id="0">
    <w:p w:rsidR="00000000" w:rsidRDefault="003D4D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D6" w:rsidRDefault="003D4DD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D6" w:rsidRDefault="003D4DD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D6" w:rsidRDefault="003D4DD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725"/>
    <w:multiLevelType w:val="multilevel"/>
    <w:tmpl w:val="D6B68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OutlineNotIndented"/>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6A"/>
    <w:rsid w:val="003D4DD6"/>
    <w:rsid w:val="00B3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A12B"/>
  <w15:docId w15:val="{C0350F68-41C2-40C2-9A32-109927F4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Heading1">
    <w:name w:val="heading 1"/>
    <w:basedOn w:val="Normal"/>
    <w:pPr>
      <w:spacing w:before="280"/>
    </w:pPr>
    <w:rPr>
      <w:rFonts w:ascii="Arial Black" w:hAnsi="Arial Black"/>
      <w:sz w:val="28"/>
    </w:rPr>
  </w:style>
  <w:style w:type="paragraph" w:styleId="Heading2">
    <w:name w:val="heading 2"/>
    <w:basedOn w:val="Normal"/>
    <w:pPr>
      <w:spacing w:before="120"/>
      <w:outlineLvl w:val="1"/>
    </w:pPr>
    <w:rPr>
      <w:rFonts w:ascii="Arial" w:hAnsi="Arial"/>
      <w:b/>
      <w:sz w:val="24"/>
    </w:rPr>
  </w:style>
  <w:style w:type="paragraph" w:styleId="Heading3">
    <w:name w:val="heading 3"/>
    <w:basedOn w:val="Normal"/>
    <w:pPr>
      <w:spacing w:before="120"/>
      <w:outlineLvl w:val="2"/>
    </w:pPr>
    <w:rPr>
      <w:b/>
      <w:sz w:val="24"/>
    </w:rPr>
  </w:style>
  <w:style w:type="paragraph" w:styleId="Heading4">
    <w:name w:val="heading 4"/>
    <w:basedOn w:val="Normal"/>
    <w:next w:val="Normal"/>
    <w:pPr>
      <w:keepNext/>
      <w:widowControl/>
      <w:jc w:val="center"/>
      <w:outlineLvl w:val="3"/>
    </w:pPr>
    <w:rPr>
      <w:rFonts w:ascii="Arial" w:hAnsi="Arial"/>
      <w:b/>
      <w:snapToGrid/>
      <w:sz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240"/>
      <w:jc w:val="center"/>
    </w:pPr>
    <w:rPr>
      <w:rFonts w:ascii="Arial Black" w:hAnsi="Arial Black"/>
      <w:sz w:val="48"/>
    </w:rPr>
  </w:style>
  <w:style w:type="paragraph" w:customStyle="1" w:styleId="OutlineNotIndented">
    <w:name w:val="Outline (Not Indented)"/>
    <w:basedOn w:val="Normal"/>
    <w:pPr>
      <w:numPr>
        <w:ilvl w:val="11"/>
        <w:numId w:val="1"/>
      </w:numPr>
      <w:ind w:left="360" w:hanging="360"/>
    </w:pPr>
    <w:rPr>
      <w:sz w:val="24"/>
    </w:rPr>
  </w:style>
  <w:style w:type="paragraph" w:customStyle="1" w:styleId="OutlineIndented">
    <w:name w:val="Outline (Indented)"/>
    <w:basedOn w:val="Normal"/>
    <w:pPr>
      <w:tabs>
        <w:tab w:val="num" w:pos="360"/>
      </w:tabs>
      <w:ind w:left="360" w:hanging="360"/>
    </w:pPr>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tabs>
        <w:tab w:val="num" w:pos="360"/>
      </w:tabs>
      <w:ind w:left="360" w:hanging="360"/>
    </w:pPr>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pPr>
      <w:tabs>
        <w:tab w:val="num" w:pos="360"/>
      </w:tabs>
      <w:ind w:left="360" w:hanging="360"/>
    </w:pPr>
    <w:rPr>
      <w:sz w:val="24"/>
    </w:rPr>
  </w:style>
  <w:style w:type="paragraph" w:customStyle="1" w:styleId="Bullet1">
    <w:name w:val="Bullet 1"/>
    <w:basedOn w:val="Normal"/>
    <w:pPr>
      <w:tabs>
        <w:tab w:val="num" w:pos="360"/>
      </w:tabs>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BodyText2">
    <w:name w:val="Body Text 2"/>
    <w:basedOn w:val="Normal"/>
    <w:pPr>
      <w:widowControl/>
      <w:ind w:right="115"/>
      <w:jc w:val="center"/>
    </w:pPr>
    <w:rPr>
      <w:rFonts w:ascii="Arial" w:hAnsi="Arial"/>
      <w:sz w:val="28"/>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jBMjnUmzyZ15hMSBdHo293yEg==">AMUW2mXj1brK6/W75BKvyZ1kIOHDTCVf8vCvYMDQYyIHDgsWR7vZnRBWdinsXGz/f3zpaGpqGtUvXtp2W7ykXLnmyuKk/6DqIXNZxCAg12bMSLADKVGVfuc=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275</dc:creator>
  <cp:lastModifiedBy>CJ</cp:lastModifiedBy>
  <cp:revision>2</cp:revision>
  <dcterms:created xsi:type="dcterms:W3CDTF">2022-11-16T08:22:00Z</dcterms:created>
  <dcterms:modified xsi:type="dcterms:W3CDTF">2022-11-16T08:22:00Z</dcterms:modified>
</cp:coreProperties>
</file>