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093487A2"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334436">
        <w:rPr>
          <w:rFonts w:ascii="Arial" w:hAnsi="Arial" w:cs="Arial"/>
          <w:b/>
          <w:sz w:val="28"/>
        </w:rPr>
        <w:t>English</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5CD8455C"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w:t>
      </w:r>
      <w:r w:rsidR="002B478D">
        <w:rPr>
          <w:rFonts w:ascii="Arial" w:hAnsi="Arial" w:cs="Arial"/>
          <w:sz w:val="22"/>
          <w:szCs w:val="22"/>
        </w:rPr>
        <w:t>appraisal process</w:t>
      </w:r>
      <w:r w:rsidRPr="009767BF">
        <w:rPr>
          <w:rFonts w:ascii="Arial" w:hAnsi="Arial" w:cs="Arial"/>
          <w:sz w:val="22"/>
          <w:szCs w:val="22"/>
        </w:rPr>
        <w:t xml:space="preserve"> and professional teams and groups. </w:t>
      </w:r>
      <w:bookmarkStart w:id="0" w:name="_GoBack"/>
      <w:bookmarkEnd w:id="0"/>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B478D"/>
    <w:rsid w:val="002D5AE3"/>
    <w:rsid w:val="002F6A38"/>
    <w:rsid w:val="00334436"/>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F5C90EDE-1A9C-4B55-902A-A526CB4CDBE5}"/>
</file>

<file path=customXml/itemProps2.xml><?xml version="1.0" encoding="utf-8"?>
<ds:datastoreItem xmlns:ds="http://schemas.openxmlformats.org/officeDocument/2006/customXml" ds:itemID="{720D80B2-B151-482F-B85C-C65C6C3F24E9}"/>
</file>

<file path=customXml/itemProps3.xml><?xml version="1.0" encoding="utf-8"?>
<ds:datastoreItem xmlns:ds="http://schemas.openxmlformats.org/officeDocument/2006/customXml" ds:itemID="{367373BC-436F-48A8-B9D4-C2E5281AA255}"/>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2023-03-15T13:41:00Z</dcterms:created>
  <dcterms:modified xsi:type="dcterms:W3CDTF">2023-04-18T11:51:00Z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