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9A482" w14:textId="77777777" w:rsidR="00862C0B" w:rsidRDefault="00A00D13" w:rsidP="00862C0B">
      <w:bookmarkStart w:id="0" w:name="_GoBack"/>
      <w:bookmarkEnd w:id="0"/>
      <w:r>
        <w:rPr>
          <w:noProof/>
          <w:color w:val="0000FF"/>
          <w:lang w:eastAsia="en-GB"/>
        </w:rPr>
        <w:drawing>
          <wp:anchor distT="0" distB="0" distL="114300" distR="114300" simplePos="0" relativeHeight="251659264" behindDoc="1" locked="0" layoutInCell="1" allowOverlap="1" wp14:anchorId="5164393A" wp14:editId="0CF451BF">
            <wp:simplePos x="0" y="0"/>
            <wp:positionH relativeFrom="margin">
              <wp:posOffset>47625</wp:posOffset>
            </wp:positionH>
            <wp:positionV relativeFrom="paragraph">
              <wp:posOffset>-581025</wp:posOffset>
            </wp:positionV>
            <wp:extent cx="5734050" cy="978535"/>
            <wp:effectExtent l="0" t="0" r="0" b="0"/>
            <wp:wrapTight wrapText="bothSides">
              <wp:wrapPolygon edited="0">
                <wp:start x="1650" y="0"/>
                <wp:lineTo x="933" y="0"/>
                <wp:lineTo x="574" y="2103"/>
                <wp:lineTo x="574" y="6728"/>
                <wp:lineTo x="0" y="12195"/>
                <wp:lineTo x="0" y="15979"/>
                <wp:lineTo x="1148" y="20184"/>
                <wp:lineTo x="1650" y="21025"/>
                <wp:lineTo x="1794" y="21025"/>
                <wp:lineTo x="2296" y="21025"/>
                <wp:lineTo x="7535" y="20184"/>
                <wp:lineTo x="16146" y="15559"/>
                <wp:lineTo x="16074" y="13456"/>
                <wp:lineTo x="16649" y="13456"/>
                <wp:lineTo x="21528" y="7569"/>
                <wp:lineTo x="21528" y="3364"/>
                <wp:lineTo x="2440" y="0"/>
                <wp:lineTo x="1650" y="0"/>
              </wp:wrapPolygon>
            </wp:wrapTight>
            <wp:docPr id="1" name="irc_mi" descr="Image result for littleport and east cambs academ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ittleport and east cambs academy">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8CBFE" w14:textId="77777777" w:rsidR="00862C0B" w:rsidRDefault="00862C0B" w:rsidP="00862C0B"/>
    <w:p w14:paraId="74F6B506" w14:textId="77777777" w:rsidR="00592B79" w:rsidRDefault="00D01996" w:rsidP="006A758C">
      <w:pPr>
        <w:pStyle w:val="Heading1"/>
        <w:tabs>
          <w:tab w:val="center" w:pos="4513"/>
        </w:tabs>
        <w:spacing w:before="120" w:after="120" w:line="240" w:lineRule="auto"/>
      </w:pPr>
      <w:r>
        <w:t>Teacher Upper</w:t>
      </w:r>
      <w:r w:rsidR="00592B79">
        <w:t xml:space="preserve"> Pay Range Job Description</w:t>
      </w:r>
    </w:p>
    <w:p w14:paraId="378B9AA5" w14:textId="77777777" w:rsidR="00592B79" w:rsidRPr="00382DF8" w:rsidRDefault="00592B79" w:rsidP="00382DF8">
      <w:pPr>
        <w:rPr>
          <w:i/>
          <w:color w:val="63666A"/>
          <w14:textFill>
            <w14:solidFill>
              <w14:srgbClr w14:val="63666A">
                <w14:lumMod w14:val="25000"/>
              </w14:srgbClr>
            </w14:solidFill>
          </w14:textFill>
        </w:rPr>
      </w:pPr>
      <w:r w:rsidRPr="00382DF8">
        <w:rPr>
          <w:i/>
          <w:color w:val="63666A"/>
        </w:rPr>
        <w:t>This school is committed to safeguarding and promoting the welfare of children and young people and requires all staff to share this commitment.</w:t>
      </w:r>
    </w:p>
    <w:p w14:paraId="01B88256" w14:textId="77777777" w:rsidR="00D01996" w:rsidRPr="00382DF8" w:rsidRDefault="00D01996" w:rsidP="00382DF8">
      <w:r w:rsidRPr="00382DF8">
        <w:t xml:space="preserve">Paragraphs 1 to 8 below are a Main Pay Range Teachers Responsibilities as set out in the Contractual Framework for Teachers of the School Teachers Pay and Conditions Document. Main Pay Range </w:t>
      </w:r>
      <w:r w:rsidR="00382DF8">
        <w:t>T</w:t>
      </w:r>
      <w:r w:rsidRPr="00382DF8">
        <w:t>eachers are required to act in accordance with the school’s ethos, policies and practices, under the directio</w:t>
      </w:r>
      <w:r w:rsidR="00382DF8">
        <w:t xml:space="preserve">n of the Headteacher. </w:t>
      </w:r>
      <w:r w:rsidRPr="00382DF8">
        <w:t xml:space="preserve">In addition to the duties and responsibilities of a Main Pay Range Teacher </w:t>
      </w:r>
      <w:r w:rsidR="00382DF8">
        <w:t>you are, as an Upper Pay Range T</w:t>
      </w:r>
      <w:r w:rsidRPr="00382DF8">
        <w:t xml:space="preserve">eacher, required to be highly competent in all elements of the Teacher Standards, to ensure that your achievements and contribution to the </w:t>
      </w:r>
      <w:r w:rsidR="00382DF8">
        <w:t>S</w:t>
      </w:r>
      <w:r w:rsidRPr="00382DF8">
        <w:t>chool are substantial and sustained.</w:t>
      </w:r>
    </w:p>
    <w:p w14:paraId="1E6CE148" w14:textId="77777777" w:rsidR="00592B79" w:rsidRPr="00203E99" w:rsidRDefault="00592B79" w:rsidP="00592B79">
      <w:pPr>
        <w:pStyle w:val="Section-Level1"/>
        <w:keepLines/>
        <w:numPr>
          <w:ilvl w:val="0"/>
          <w:numId w:val="17"/>
        </w:numPr>
        <w:outlineLvl w:val="1"/>
      </w:pPr>
      <w:r w:rsidRPr="00203E99">
        <w:t xml:space="preserve">Teaching </w:t>
      </w:r>
    </w:p>
    <w:p w14:paraId="520B37F0" w14:textId="77777777" w:rsidR="00592B79" w:rsidRPr="00870008" w:rsidRDefault="00592B79" w:rsidP="00592B79">
      <w:pPr>
        <w:pStyle w:val="Section-Level2"/>
        <w:numPr>
          <w:ilvl w:val="1"/>
          <w:numId w:val="17"/>
        </w:numPr>
        <w:ind w:left="900" w:hanging="540"/>
      </w:pPr>
      <w:r w:rsidRPr="00870008">
        <w:t>Plan and teach lessons and sequences of lessons to the class(es) you are assigned to t</w:t>
      </w:r>
      <w:r>
        <w:t>each within the context of the S</w:t>
      </w:r>
      <w:r w:rsidRPr="00870008">
        <w:t>chool’s plans, curriculum and schemes of work in order to achieve target levels of  pupil att</w:t>
      </w:r>
      <w:r>
        <w:t>ainment, progress and outcomes.</w:t>
      </w:r>
    </w:p>
    <w:p w14:paraId="136DC62F" w14:textId="77777777" w:rsidR="00592B79" w:rsidRPr="00870008" w:rsidRDefault="00592B79" w:rsidP="00592B79">
      <w:pPr>
        <w:pStyle w:val="Section-Level2"/>
        <w:numPr>
          <w:ilvl w:val="1"/>
          <w:numId w:val="17"/>
        </w:numPr>
        <w:ind w:left="900" w:hanging="540"/>
      </w:pPr>
      <w:r w:rsidRPr="00870008">
        <w:t xml:space="preserve">Assess, monitor, record and report on the learning needs, progress and </w:t>
      </w:r>
      <w:r>
        <w:t>achievements of assigned pupils.</w:t>
      </w:r>
    </w:p>
    <w:p w14:paraId="7558C44D" w14:textId="77777777" w:rsidR="00592B79" w:rsidRDefault="00592B79" w:rsidP="00592B79">
      <w:pPr>
        <w:pStyle w:val="Section-Level2"/>
        <w:numPr>
          <w:ilvl w:val="1"/>
          <w:numId w:val="17"/>
        </w:numPr>
        <w:ind w:left="900" w:hanging="540"/>
      </w:pPr>
      <w:r w:rsidRPr="00870008">
        <w:t>Set and mark work to be carried out by th</w:t>
      </w:r>
      <w:r>
        <w:t>e pupil in school and elsewhere.</w:t>
      </w:r>
    </w:p>
    <w:p w14:paraId="696FA5E5" w14:textId="77777777" w:rsidR="00592B79" w:rsidRPr="00203E99" w:rsidRDefault="00592B79" w:rsidP="00592B79">
      <w:pPr>
        <w:pStyle w:val="Section-Level2"/>
        <w:numPr>
          <w:ilvl w:val="1"/>
          <w:numId w:val="17"/>
        </w:numPr>
        <w:ind w:left="900" w:hanging="540"/>
      </w:pPr>
      <w:r w:rsidRPr="00870008">
        <w:t>Participate in arrangements for preparing pupils for external examinations</w:t>
      </w:r>
      <w:r w:rsidRPr="00203E99">
        <w:t xml:space="preserve">. </w:t>
      </w:r>
    </w:p>
    <w:p w14:paraId="7B3C3FFE" w14:textId="77777777" w:rsidR="008A3AF8" w:rsidRDefault="00592B79" w:rsidP="00592B79">
      <w:pPr>
        <w:pStyle w:val="Section-Level1"/>
        <w:keepLines/>
        <w:numPr>
          <w:ilvl w:val="0"/>
          <w:numId w:val="17"/>
        </w:numPr>
        <w:outlineLvl w:val="1"/>
      </w:pPr>
      <w:r w:rsidRPr="00592B79">
        <w:t>Whole school organisation, strategy and development</w:t>
      </w:r>
    </w:p>
    <w:p w14:paraId="516FF280" w14:textId="77777777" w:rsidR="00592B79" w:rsidRPr="00203E99" w:rsidRDefault="00592B79" w:rsidP="00592B79">
      <w:pPr>
        <w:pStyle w:val="Section-Level2"/>
      </w:pPr>
      <w:r w:rsidRPr="00203E99">
        <w:t>Contribute to the development, implem</w:t>
      </w:r>
      <w:r>
        <w:t>entation and evaluation of the S</w:t>
      </w:r>
      <w:r w:rsidRPr="00203E99">
        <w:t xml:space="preserve">chool’s policies, practices and procedures in such </w:t>
      </w:r>
      <w:r>
        <w:t>a way as to support the S</w:t>
      </w:r>
      <w:r w:rsidRPr="00203E99">
        <w:t>chool’s values and vision.</w:t>
      </w:r>
      <w:r w:rsidRPr="009C5B12">
        <w:rPr>
          <w:sz w:val="16"/>
          <w:szCs w:val="16"/>
        </w:rPr>
        <w:t xml:space="preserve"> </w:t>
      </w:r>
    </w:p>
    <w:p w14:paraId="4EB702D3" w14:textId="77777777" w:rsidR="00592B79" w:rsidRPr="00203E99" w:rsidRDefault="00592B79" w:rsidP="00592B79">
      <w:pPr>
        <w:pStyle w:val="Section-Level2"/>
      </w:pPr>
      <w:r w:rsidRPr="00203E99">
        <w:t>Work with others on curriculum and/or pupil development to secure co-ordinated outcomes.</w:t>
      </w:r>
    </w:p>
    <w:p w14:paraId="5DF428D3" w14:textId="77777777" w:rsidR="00592B79" w:rsidRPr="00203E99" w:rsidRDefault="00592B79" w:rsidP="00592B79">
      <w:pPr>
        <w:pStyle w:val="Section-Level2"/>
      </w:pPr>
      <w:r w:rsidRPr="00203E99">
        <w:t xml:space="preserve">Supervise and so far as practicable teach any pupils where the person timetabled to take the class is not available to do so. (You will </w:t>
      </w:r>
      <w:r>
        <w:t xml:space="preserve">only rarely </w:t>
      </w:r>
      <w:r w:rsidRPr="00203E99">
        <w:t>be</w:t>
      </w:r>
      <w:r>
        <w:t xml:space="preserve"> required to provide such cover in circumstances that are not foreseeable</w:t>
      </w:r>
      <w:r w:rsidRPr="00203E99">
        <w:t xml:space="preserve">). </w:t>
      </w:r>
    </w:p>
    <w:p w14:paraId="7ACF0E20" w14:textId="77777777" w:rsidR="00382DF8" w:rsidRDefault="00382DF8">
      <w:pPr>
        <w:rPr>
          <w:rFonts w:ascii="Calibri" w:hAnsi="Calibri" w:cs="Times New Roman"/>
          <w:b/>
          <w:bCs/>
          <w:color w:val="4F81BD"/>
          <w:sz w:val="24"/>
          <w:szCs w:val="24"/>
        </w:rPr>
      </w:pPr>
      <w:r>
        <w:br w:type="page"/>
      </w:r>
    </w:p>
    <w:p w14:paraId="745DDBE8" w14:textId="77777777" w:rsidR="00592B79" w:rsidRPr="00592B79" w:rsidRDefault="00592B79" w:rsidP="00592B79">
      <w:pPr>
        <w:pStyle w:val="Section-Level1"/>
        <w:keepLines/>
        <w:numPr>
          <w:ilvl w:val="0"/>
          <w:numId w:val="17"/>
        </w:numPr>
        <w:outlineLvl w:val="1"/>
      </w:pPr>
      <w:r w:rsidRPr="00592B79">
        <w:lastRenderedPageBreak/>
        <w:t>Health, safety and discipline</w:t>
      </w:r>
    </w:p>
    <w:p w14:paraId="4FCA3DE7" w14:textId="77777777" w:rsidR="00592B79" w:rsidRPr="00203E99" w:rsidRDefault="00592B79" w:rsidP="00592B79">
      <w:pPr>
        <w:pStyle w:val="Section-Level2"/>
      </w:pPr>
      <w:r w:rsidRPr="00203E99">
        <w:t xml:space="preserve">Promote the safety and well-being of pupils in accordance with the </w:t>
      </w:r>
      <w:r>
        <w:t>S</w:t>
      </w:r>
      <w:r w:rsidRPr="00203E99">
        <w:t xml:space="preserve">chool’s Child Protection and other relevant policies. </w:t>
      </w:r>
    </w:p>
    <w:p w14:paraId="1CB5B30B" w14:textId="77777777" w:rsidR="00592B79" w:rsidRPr="00203E99" w:rsidRDefault="00592B79" w:rsidP="00592B79">
      <w:pPr>
        <w:pStyle w:val="Section-Level2"/>
      </w:pPr>
      <w:r w:rsidRPr="00203E99">
        <w:t xml:space="preserve">Maintain good order and discipline among pupils in accordance with the </w:t>
      </w:r>
      <w:r>
        <w:t>S</w:t>
      </w:r>
      <w:r w:rsidRPr="00203E99">
        <w:t xml:space="preserve">chool behaviour policy. </w:t>
      </w:r>
    </w:p>
    <w:p w14:paraId="01A26499" w14:textId="77777777" w:rsidR="00592B79" w:rsidRDefault="00592B79" w:rsidP="00592B79">
      <w:pPr>
        <w:pStyle w:val="Section-Level1"/>
        <w:keepLines/>
        <w:numPr>
          <w:ilvl w:val="0"/>
          <w:numId w:val="17"/>
        </w:numPr>
        <w:outlineLvl w:val="1"/>
      </w:pPr>
      <w:r w:rsidRPr="00592B79">
        <w:t>Management of staff and resources</w:t>
      </w:r>
    </w:p>
    <w:p w14:paraId="4DF9EC84" w14:textId="77777777" w:rsidR="00592B79" w:rsidRPr="00203E99" w:rsidRDefault="00592B79" w:rsidP="00592B79">
      <w:pPr>
        <w:pStyle w:val="Section-Level2"/>
      </w:pPr>
      <w:r w:rsidRPr="00203E99">
        <w:t xml:space="preserve">Direct and supervise support staff assigned to you and, where appropriate, other teachers. </w:t>
      </w:r>
    </w:p>
    <w:p w14:paraId="07F360DE" w14:textId="77777777" w:rsidR="00592B79" w:rsidRPr="00203E99" w:rsidRDefault="00592B79" w:rsidP="00592B79">
      <w:pPr>
        <w:pStyle w:val="Section-Level2"/>
      </w:pPr>
      <w:r w:rsidRPr="00203E99">
        <w:t xml:space="preserve">Contribute to the recruitment, selection, appointment and professional development of other teachers and support staff. </w:t>
      </w:r>
    </w:p>
    <w:p w14:paraId="1ED7EC95" w14:textId="77777777" w:rsidR="00592B79" w:rsidRPr="00203E99" w:rsidRDefault="00592B79" w:rsidP="00592B79">
      <w:pPr>
        <w:pStyle w:val="Section-Level2"/>
      </w:pPr>
      <w:r w:rsidRPr="00203E99">
        <w:t xml:space="preserve">Deploy resources delegated to </w:t>
      </w:r>
      <w:r w:rsidR="00E169CB">
        <w:t>you in accordance with S</w:t>
      </w:r>
      <w:r w:rsidRPr="00203E99">
        <w:t xml:space="preserve">chool policies. </w:t>
      </w:r>
    </w:p>
    <w:p w14:paraId="5C9BD1FD" w14:textId="77777777" w:rsidR="00592B79" w:rsidRDefault="00592B79" w:rsidP="00592B79">
      <w:pPr>
        <w:pStyle w:val="Section-Level1"/>
        <w:keepLines/>
        <w:numPr>
          <w:ilvl w:val="0"/>
          <w:numId w:val="17"/>
        </w:numPr>
        <w:outlineLvl w:val="1"/>
      </w:pPr>
      <w:r w:rsidRPr="00592B79">
        <w:t>Professional development</w:t>
      </w:r>
    </w:p>
    <w:p w14:paraId="60D3CA26" w14:textId="77777777" w:rsidR="00592B79" w:rsidRPr="00203E99" w:rsidRDefault="00592B79" w:rsidP="00592B79">
      <w:pPr>
        <w:pStyle w:val="Section-Level2"/>
      </w:pPr>
      <w:r w:rsidRPr="00203E99">
        <w:t xml:space="preserve">Participate in arrangements for the appraisal and review of your own performance and, where appropriate, that of other teachers and support staff. </w:t>
      </w:r>
    </w:p>
    <w:p w14:paraId="37FEFB95" w14:textId="77777777" w:rsidR="00592B79" w:rsidRPr="00203E99" w:rsidRDefault="00592B79" w:rsidP="00592B79">
      <w:pPr>
        <w:pStyle w:val="Section-Level2"/>
      </w:pPr>
      <w:r w:rsidRPr="00203E99">
        <w:t xml:space="preserve">Participate in arrangements for your own further training and professional development and, where appropriate, that of other teachers and support staff including induction. </w:t>
      </w:r>
    </w:p>
    <w:p w14:paraId="4C064C8F" w14:textId="77777777" w:rsidR="00592B79" w:rsidRPr="00592B79" w:rsidRDefault="00592B79" w:rsidP="00592B79">
      <w:pPr>
        <w:pStyle w:val="Section-Level1"/>
        <w:keepLines/>
        <w:numPr>
          <w:ilvl w:val="0"/>
          <w:numId w:val="17"/>
        </w:numPr>
        <w:outlineLvl w:val="1"/>
      </w:pPr>
      <w:r w:rsidRPr="00592B79">
        <w:t xml:space="preserve">Communication </w:t>
      </w:r>
    </w:p>
    <w:p w14:paraId="28B3E417" w14:textId="77777777" w:rsidR="00592B79" w:rsidRPr="00203E99" w:rsidRDefault="00592B79" w:rsidP="00592B79">
      <w:pPr>
        <w:pStyle w:val="Section-Level2"/>
      </w:pPr>
      <w:r w:rsidRPr="00B104CB">
        <w:t>Communicate with pupils, parents and carers</w:t>
      </w:r>
      <w:r w:rsidRPr="00203E99">
        <w:t xml:space="preserve"> in accordance with </w:t>
      </w:r>
      <w:r>
        <w:t xml:space="preserve">the </w:t>
      </w:r>
      <w:r w:rsidR="00E169CB">
        <w:t>S</w:t>
      </w:r>
      <w:r w:rsidRPr="00203E99">
        <w:t>chool ethos, policies and practice.</w:t>
      </w:r>
    </w:p>
    <w:p w14:paraId="18420D8A" w14:textId="77777777" w:rsidR="00592B79" w:rsidRDefault="00592B79" w:rsidP="00592B79">
      <w:pPr>
        <w:pStyle w:val="Section-Level1"/>
        <w:keepLines/>
        <w:numPr>
          <w:ilvl w:val="0"/>
          <w:numId w:val="17"/>
        </w:numPr>
        <w:outlineLvl w:val="1"/>
      </w:pPr>
      <w:r w:rsidRPr="00592B79">
        <w:t>Working with colleagues and other relevant professionals</w:t>
      </w:r>
    </w:p>
    <w:p w14:paraId="390E300A" w14:textId="77777777" w:rsidR="00592B79" w:rsidRPr="00203E99" w:rsidRDefault="00592B79" w:rsidP="00592B79">
      <w:pPr>
        <w:pStyle w:val="Section-Level2"/>
      </w:pPr>
      <w:r w:rsidRPr="00203E99">
        <w:t>Collaborate and work with colleagues and other relevant profe</w:t>
      </w:r>
      <w:r w:rsidR="00E169CB">
        <w:t>ssionals within and beyond the S</w:t>
      </w:r>
      <w:r w:rsidRPr="00203E99">
        <w:t xml:space="preserve">chool. </w:t>
      </w:r>
    </w:p>
    <w:p w14:paraId="7055BF5B" w14:textId="77777777" w:rsidR="00592B79" w:rsidRPr="00203E99" w:rsidRDefault="00592B79" w:rsidP="00592B79">
      <w:pPr>
        <w:pStyle w:val="Section-Level2"/>
      </w:pPr>
      <w:r w:rsidRPr="00203E99">
        <w:t>Participating in administrative and organisational tasks, including the direction or supervision of persons providing s</w:t>
      </w:r>
      <w:r w:rsidR="00E169CB">
        <w:t>upport for the teachers in the S</w:t>
      </w:r>
      <w:r w:rsidRPr="00203E99">
        <w:t xml:space="preserve">chool, which require the exercise of your professional skills and judgment. </w:t>
      </w:r>
    </w:p>
    <w:p w14:paraId="249AEA17" w14:textId="77777777" w:rsidR="00592B79" w:rsidRDefault="00592B79" w:rsidP="00592B79">
      <w:pPr>
        <w:pStyle w:val="Section-Level1"/>
        <w:keepLines/>
        <w:numPr>
          <w:ilvl w:val="0"/>
          <w:numId w:val="17"/>
        </w:numPr>
        <w:outlineLvl w:val="1"/>
      </w:pPr>
      <w:r w:rsidRPr="00592B79">
        <w:t>Fulfil wider professional responsibilities</w:t>
      </w:r>
    </w:p>
    <w:p w14:paraId="66133AB6" w14:textId="77777777" w:rsidR="00592B79" w:rsidRDefault="00592B79" w:rsidP="00592B79">
      <w:pPr>
        <w:pStyle w:val="Section-Level2"/>
      </w:pPr>
      <w:r w:rsidRPr="00203E99">
        <w:t>Make a positive contribution to t</w:t>
      </w:r>
      <w:r w:rsidR="00E169CB">
        <w:t>he wider life and ethos of the School.</w:t>
      </w:r>
    </w:p>
    <w:p w14:paraId="0AC04777" w14:textId="77777777" w:rsidR="00382DF8" w:rsidRPr="00382DF8" w:rsidRDefault="00382DF8" w:rsidP="00382DF8">
      <w:pPr>
        <w:pStyle w:val="Section-Level1"/>
        <w:keepLines/>
        <w:numPr>
          <w:ilvl w:val="0"/>
          <w:numId w:val="17"/>
        </w:numPr>
        <w:outlineLvl w:val="1"/>
      </w:pPr>
      <w:r w:rsidRPr="00382DF8">
        <w:t>Upper Pay Range Accountabilities</w:t>
      </w:r>
    </w:p>
    <w:p w14:paraId="0D825090" w14:textId="77777777" w:rsidR="00382DF8" w:rsidRPr="00B63F64" w:rsidRDefault="00382DF8" w:rsidP="00382DF8">
      <w:pPr>
        <w:pStyle w:val="Default"/>
        <w:rPr>
          <w:b/>
          <w:sz w:val="20"/>
          <w:szCs w:val="20"/>
        </w:rPr>
      </w:pPr>
    </w:p>
    <w:p w14:paraId="5B595DDB" w14:textId="77777777" w:rsidR="00382DF8" w:rsidRPr="00382DF8" w:rsidRDefault="00382DF8" w:rsidP="00382DF8">
      <w:pPr>
        <w:pStyle w:val="Section-Level2"/>
      </w:pPr>
      <w:r w:rsidRPr="00382DF8">
        <w:t xml:space="preserve">Contribute significantly, where appropriate, to implementing workplace policies and practice and to promoting collective responsibility for their implementation. </w:t>
      </w:r>
    </w:p>
    <w:p w14:paraId="0E728795" w14:textId="77777777" w:rsidR="00382DF8" w:rsidRPr="00382DF8" w:rsidRDefault="00382DF8" w:rsidP="00382DF8">
      <w:pPr>
        <w:pStyle w:val="Section-Level2"/>
      </w:pPr>
      <w:r w:rsidRPr="00382DF8">
        <w:lastRenderedPageBreak/>
        <w:t>Have an extensive knowledge and understanding of how to use and adapt a range of teaching, learning and behaviour management strategies, including how to personalise learning to provide opportunities for all learners to achieve their potential.</w:t>
      </w:r>
    </w:p>
    <w:p w14:paraId="5AC81D9E" w14:textId="77777777" w:rsidR="00382DF8" w:rsidRPr="00382DF8" w:rsidRDefault="00382DF8" w:rsidP="00382DF8">
      <w:pPr>
        <w:pStyle w:val="Section-Level2"/>
      </w:pPr>
      <w:r w:rsidRPr="00382DF8">
        <w:t xml:space="preserve">Have an extensive knowledge and well-informed understanding of the assessment requirements and arrangements for the subjects/curriculum areas you teach, including those related to public examinations and qualifications.  </w:t>
      </w:r>
    </w:p>
    <w:p w14:paraId="4A2522F8" w14:textId="77777777" w:rsidR="00382DF8" w:rsidRPr="00382DF8" w:rsidRDefault="00382DF8" w:rsidP="00382DF8">
      <w:pPr>
        <w:pStyle w:val="Section-Level2"/>
      </w:pPr>
      <w:r w:rsidRPr="00382DF8">
        <w:t xml:space="preserve">Have up-to-date knowledge and understanding of the different types of qualifications and specifications and their suitability for meeting learners’ needs. </w:t>
      </w:r>
    </w:p>
    <w:p w14:paraId="0DBB6581" w14:textId="77777777" w:rsidR="00382DF8" w:rsidRPr="00382DF8" w:rsidRDefault="00382DF8" w:rsidP="00382DF8">
      <w:pPr>
        <w:pStyle w:val="Section-Level2"/>
      </w:pPr>
      <w:r w:rsidRPr="00382DF8">
        <w:t xml:space="preserve">Have a more developed knowledge and understanding of your subjects/curriculum areas and related pedagogy including how learning progresses within them than a </w:t>
      </w:r>
      <w:smartTag w:uri="urn:schemas-microsoft-com:office:smarttags" w:element="PlaceType">
        <w:smartTag w:uri="urn:schemas-microsoft-com:office:smarttags" w:element="PlaceType">
          <w:r w:rsidRPr="00382DF8">
            <w:t>Main</w:t>
          </w:r>
        </w:smartTag>
        <w:r w:rsidRPr="00382DF8">
          <w:t xml:space="preserve"> </w:t>
        </w:r>
        <w:smartTag w:uri="urn:schemas-microsoft-com:office:smarttags" w:element="PlaceType">
          <w:r w:rsidRPr="00382DF8">
            <w:t>Pay</w:t>
          </w:r>
        </w:smartTag>
        <w:r w:rsidRPr="00382DF8">
          <w:t xml:space="preserve"> </w:t>
        </w:r>
        <w:smartTag w:uri="urn:schemas-microsoft-com:office:smarttags" w:element="PlaceType">
          <w:r w:rsidRPr="00382DF8">
            <w:t>Range</w:t>
          </w:r>
        </w:smartTag>
      </w:smartTag>
      <w:r w:rsidRPr="00382DF8">
        <w:t xml:space="preserve"> teacher. </w:t>
      </w:r>
    </w:p>
    <w:p w14:paraId="6931BE6F" w14:textId="77777777" w:rsidR="00382DF8" w:rsidRPr="00382DF8" w:rsidRDefault="00382DF8" w:rsidP="00382DF8">
      <w:pPr>
        <w:pStyle w:val="Section-Level2"/>
      </w:pPr>
      <w:r w:rsidRPr="00382DF8">
        <w:t xml:space="preserve">Have sufficient depth of knowledge and experience to be able to give advice to colleagues on the development and well-being of children and young people. </w:t>
      </w:r>
    </w:p>
    <w:p w14:paraId="3463877C" w14:textId="77777777" w:rsidR="00382DF8" w:rsidRPr="00382DF8" w:rsidRDefault="00382DF8" w:rsidP="00382DF8">
      <w:pPr>
        <w:pStyle w:val="Section-Level2"/>
      </w:pPr>
      <w:r w:rsidRPr="00382DF8">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69516DBF" w14:textId="77777777" w:rsidR="00382DF8" w:rsidRDefault="00382DF8" w:rsidP="00382DF8">
      <w:pPr>
        <w:pStyle w:val="Section-Level2"/>
      </w:pPr>
      <w:r w:rsidRPr="00382DF8">
        <w:t>Provide coaching and mentoring to other teachers, give advice to them and demonstrate to them effective teaching practice in order to help them meet the relevant standards and develop their teaching practice</w:t>
      </w:r>
      <w:r>
        <w:t>.</w:t>
      </w:r>
    </w:p>
    <w:p w14:paraId="73EC2016" w14:textId="77777777" w:rsidR="00382DF8" w:rsidRDefault="00382DF8" w:rsidP="00382DF8">
      <w:pPr>
        <w:pStyle w:val="Section-Level2"/>
      </w:pPr>
      <w:r w:rsidRPr="00382DF8">
        <w:t>Take advantage of appropriate opportunities for professional development and use the outcomes effectively to improve pupils’ learning.</w:t>
      </w:r>
    </w:p>
    <w:p w14:paraId="4497D4D1" w14:textId="77777777" w:rsidR="00382DF8" w:rsidRPr="00382DF8" w:rsidRDefault="00382DF8" w:rsidP="00382DF8">
      <w:pPr>
        <w:spacing w:before="240"/>
        <w:rPr>
          <w:bCs/>
          <w:color w:val="000000"/>
        </w:rPr>
      </w:pPr>
      <w:r w:rsidRPr="00382DF8">
        <w:rPr>
          <w:bCs/>
          <w:color w:val="000000"/>
        </w:rPr>
        <w:t xml:space="preserve">Specific details of the accountabilities (e.g. which workplace policies under paragraph 9.1 above that the post holder will contribute to implementing and promoting) should be recorded below and reviewed annually by the appraiser.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6"/>
        <w:gridCol w:w="7640"/>
      </w:tblGrid>
      <w:tr w:rsidR="00592B79" w:rsidRPr="00192DCF" w14:paraId="4C269334" w14:textId="77777777" w:rsidTr="00B75474">
        <w:tc>
          <w:tcPr>
            <w:tcW w:w="1384" w:type="dxa"/>
          </w:tcPr>
          <w:p w14:paraId="0FCC3444" w14:textId="77777777" w:rsidR="00592B79" w:rsidRPr="00592B79" w:rsidRDefault="00592B79" w:rsidP="00592B79">
            <w:pPr>
              <w:spacing w:before="120" w:after="120"/>
              <w:jc w:val="center"/>
              <w:rPr>
                <w:b/>
              </w:rPr>
            </w:pPr>
            <w:r w:rsidRPr="00592B79">
              <w:rPr>
                <w:b/>
              </w:rPr>
              <w:t>Paragraph</w:t>
            </w:r>
          </w:p>
        </w:tc>
        <w:tc>
          <w:tcPr>
            <w:tcW w:w="7858" w:type="dxa"/>
          </w:tcPr>
          <w:p w14:paraId="27FDBC1E" w14:textId="77777777" w:rsidR="00592B79" w:rsidRPr="00592B79" w:rsidRDefault="00592B79" w:rsidP="00592B79">
            <w:pPr>
              <w:spacing w:before="120" w:after="120"/>
              <w:jc w:val="center"/>
              <w:rPr>
                <w:b/>
              </w:rPr>
            </w:pPr>
            <w:r w:rsidRPr="00592B79">
              <w:rPr>
                <w:b/>
              </w:rPr>
              <w:t>Specific Additional Accountabilities</w:t>
            </w:r>
          </w:p>
        </w:tc>
      </w:tr>
      <w:tr w:rsidR="00592B79" w:rsidRPr="00192DCF" w14:paraId="23A7CBEC" w14:textId="77777777" w:rsidTr="00B75474">
        <w:tc>
          <w:tcPr>
            <w:tcW w:w="1384" w:type="dxa"/>
          </w:tcPr>
          <w:p w14:paraId="7EEA1697"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7571A3DA"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243EC4CE" w14:textId="77777777" w:rsidTr="00B75474">
        <w:tc>
          <w:tcPr>
            <w:tcW w:w="1384" w:type="dxa"/>
          </w:tcPr>
          <w:p w14:paraId="7746DB99"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746365A1"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771D2312" w14:textId="77777777" w:rsidTr="00B75474">
        <w:tc>
          <w:tcPr>
            <w:tcW w:w="1384" w:type="dxa"/>
          </w:tcPr>
          <w:p w14:paraId="1710DB4B"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7CB99885"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4208C4A2" w14:textId="77777777" w:rsidTr="00B75474">
        <w:tc>
          <w:tcPr>
            <w:tcW w:w="1384" w:type="dxa"/>
          </w:tcPr>
          <w:p w14:paraId="33D75403"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66BED546"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2D5D6E68" w14:textId="77777777" w:rsidTr="00B75474">
        <w:tc>
          <w:tcPr>
            <w:tcW w:w="1384" w:type="dxa"/>
          </w:tcPr>
          <w:p w14:paraId="656C4B66"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06956C03"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409DF08B" w14:textId="77777777" w:rsidTr="00B75474">
        <w:tc>
          <w:tcPr>
            <w:tcW w:w="1384" w:type="dxa"/>
          </w:tcPr>
          <w:p w14:paraId="746151E9"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54905872"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35776104" w14:textId="77777777" w:rsidTr="00B75474">
        <w:tc>
          <w:tcPr>
            <w:tcW w:w="1384" w:type="dxa"/>
          </w:tcPr>
          <w:p w14:paraId="0621EA41"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5E24665A"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55F580BF" w14:textId="77777777" w:rsidTr="00B75474">
        <w:tc>
          <w:tcPr>
            <w:tcW w:w="1384" w:type="dxa"/>
          </w:tcPr>
          <w:p w14:paraId="3FD19385"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66153094"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14:paraId="3488E25E" w14:textId="77777777" w:rsidTr="00B75474">
        <w:tc>
          <w:tcPr>
            <w:tcW w:w="1384" w:type="dxa"/>
          </w:tcPr>
          <w:p w14:paraId="4658F734" w14:textId="77777777"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14:paraId="5E105B3C" w14:textId="77777777"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bl>
    <w:p w14:paraId="0260F443" w14:textId="77777777" w:rsidR="00382DF8" w:rsidRPr="00382DF8" w:rsidRDefault="00382DF8" w:rsidP="00382DF8">
      <w:r w:rsidRPr="00382DF8">
        <w:lastRenderedPageBreak/>
        <w:t xml:space="preserve">This job description and related documents provide the standards and framework for Performance Management Objectives for an Upper Pay Range </w:t>
      </w:r>
      <w:r>
        <w:t>T</w:t>
      </w:r>
      <w:r w:rsidRPr="00382DF8">
        <w:t xml:space="preserve">eacher </w:t>
      </w:r>
      <w:r>
        <w:t>which will be set under the S</w:t>
      </w:r>
      <w:r w:rsidRPr="00382DF8">
        <w:t xml:space="preserve">chool’s Appraisal Policy before, or as soon as practicable after, the start of each appraisal period. 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w:t>
      </w:r>
      <w:r>
        <w:t>if achieved, contribute to the S</w:t>
      </w:r>
      <w:r w:rsidRPr="00382DF8">
        <w:t>c</w:t>
      </w:r>
      <w:r>
        <w:t>hool’s plans for improving the S</w:t>
      </w:r>
      <w:r w:rsidRPr="00382DF8">
        <w:t>chool’s educational provision and performance and improving the educational o</w:t>
      </w:r>
      <w:r>
        <w:t>pportunities of pupils at that S</w:t>
      </w:r>
      <w:r w:rsidRPr="00382DF8">
        <w:t xml:space="preserve">chool.  </w:t>
      </w:r>
    </w:p>
    <w:p w14:paraId="5C876616" w14:textId="77777777" w:rsidR="00592B79" w:rsidRPr="002B42B3" w:rsidRDefault="00592B79" w:rsidP="00382DF8"/>
    <w:sectPr w:rsidR="00592B79" w:rsidRPr="002B42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231D8" w14:textId="77777777" w:rsidR="00592B79" w:rsidRDefault="00592B79" w:rsidP="00B0282F">
      <w:pPr>
        <w:spacing w:after="0" w:line="240" w:lineRule="auto"/>
      </w:pPr>
      <w:r>
        <w:separator/>
      </w:r>
    </w:p>
  </w:endnote>
  <w:endnote w:type="continuationSeparator" w:id="0">
    <w:p w14:paraId="78906BDD" w14:textId="77777777" w:rsidR="00592B79" w:rsidRDefault="00592B79" w:rsidP="00B0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B74BD" w14:textId="77777777" w:rsidR="00592B79" w:rsidRDefault="00592B79" w:rsidP="00B0282F">
      <w:pPr>
        <w:spacing w:after="0" w:line="240" w:lineRule="auto"/>
      </w:pPr>
      <w:r>
        <w:separator/>
      </w:r>
    </w:p>
  </w:footnote>
  <w:footnote w:type="continuationSeparator" w:id="0">
    <w:p w14:paraId="30F23AC3" w14:textId="77777777" w:rsidR="00592B79" w:rsidRDefault="00592B79" w:rsidP="00B02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D2172"/>
    <w:multiLevelType w:val="hybridMultilevel"/>
    <w:tmpl w:val="9BA6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E5766"/>
    <w:multiLevelType w:val="hybridMultilevel"/>
    <w:tmpl w:val="7F880C7A"/>
    <w:lvl w:ilvl="0" w:tplc="2ACEB00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CCA6D39"/>
    <w:multiLevelType w:val="hybridMultilevel"/>
    <w:tmpl w:val="2572F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0A61B73"/>
    <w:multiLevelType w:val="multilevel"/>
    <w:tmpl w:val="9FEA3B0E"/>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64E0C2B"/>
    <w:multiLevelType w:val="hybridMultilevel"/>
    <w:tmpl w:val="7766F8FE"/>
    <w:lvl w:ilvl="0" w:tplc="193A0746">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DA01EBE"/>
    <w:multiLevelType w:val="hybridMultilevel"/>
    <w:tmpl w:val="71C05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2253D1D"/>
    <w:multiLevelType w:val="multilevel"/>
    <w:tmpl w:val="77AEE70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7"/>
    <w:lvlOverride w:ilvl="0">
      <w:startOverride w:val="1"/>
    </w:lvlOverride>
  </w:num>
  <w:num w:numId="5">
    <w:abstractNumId w:val="11"/>
  </w:num>
  <w:num w:numId="6">
    <w:abstractNumId w:val="13"/>
  </w:num>
  <w:num w:numId="7">
    <w:abstractNumId w:val="2"/>
  </w:num>
  <w:num w:numId="8">
    <w:abstractNumId w:val="2"/>
  </w:num>
  <w:num w:numId="9">
    <w:abstractNumId w:val="2"/>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1"/>
  </w:num>
  <w:num w:numId="15">
    <w:abstractNumId w:val="10"/>
  </w:num>
  <w:num w:numId="16">
    <w:abstractNumId w:val="4"/>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79"/>
    <w:rsid w:val="00065323"/>
    <w:rsid w:val="000951A3"/>
    <w:rsid w:val="000D68B1"/>
    <w:rsid w:val="0010512C"/>
    <w:rsid w:val="001070D3"/>
    <w:rsid w:val="00183F9A"/>
    <w:rsid w:val="001C359F"/>
    <w:rsid w:val="002B084D"/>
    <w:rsid w:val="002B42B3"/>
    <w:rsid w:val="00301E2E"/>
    <w:rsid w:val="00326D06"/>
    <w:rsid w:val="003764F3"/>
    <w:rsid w:val="00382DF8"/>
    <w:rsid w:val="00394E4E"/>
    <w:rsid w:val="00425E04"/>
    <w:rsid w:val="004F13B0"/>
    <w:rsid w:val="00535264"/>
    <w:rsid w:val="00592B79"/>
    <w:rsid w:val="006A758C"/>
    <w:rsid w:val="006D21F9"/>
    <w:rsid w:val="006D37E2"/>
    <w:rsid w:val="00714716"/>
    <w:rsid w:val="00733087"/>
    <w:rsid w:val="0074087B"/>
    <w:rsid w:val="00751C38"/>
    <w:rsid w:val="00753481"/>
    <w:rsid w:val="007E4F8B"/>
    <w:rsid w:val="00862C0B"/>
    <w:rsid w:val="00886BBB"/>
    <w:rsid w:val="008A38F2"/>
    <w:rsid w:val="008A3AF8"/>
    <w:rsid w:val="00953B20"/>
    <w:rsid w:val="00A00D13"/>
    <w:rsid w:val="00A02B3D"/>
    <w:rsid w:val="00A548B8"/>
    <w:rsid w:val="00A74AE6"/>
    <w:rsid w:val="00B0282F"/>
    <w:rsid w:val="00B272EF"/>
    <w:rsid w:val="00B41320"/>
    <w:rsid w:val="00B45E88"/>
    <w:rsid w:val="00B67959"/>
    <w:rsid w:val="00BE12DC"/>
    <w:rsid w:val="00BE20FF"/>
    <w:rsid w:val="00BE6F79"/>
    <w:rsid w:val="00BF14C6"/>
    <w:rsid w:val="00C0629F"/>
    <w:rsid w:val="00CF38BA"/>
    <w:rsid w:val="00CF5EBD"/>
    <w:rsid w:val="00D01996"/>
    <w:rsid w:val="00D9140C"/>
    <w:rsid w:val="00DA3975"/>
    <w:rsid w:val="00DE1899"/>
    <w:rsid w:val="00E169CB"/>
    <w:rsid w:val="00E5650F"/>
    <w:rsid w:val="00EA6FD6"/>
    <w:rsid w:val="00EC2AF5"/>
    <w:rsid w:val="00ED25C4"/>
    <w:rsid w:val="00EF50E1"/>
    <w:rsid w:val="00F3002F"/>
    <w:rsid w:val="00F30F88"/>
    <w:rsid w:val="00F54EA6"/>
    <w:rsid w:val="00F83BCF"/>
    <w:rsid w:val="00FC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732F3DC3"/>
  <w15:docId w15:val="{4CB8AD70-F551-4CDF-9D7B-027D2853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EA6FD6"/>
    <w:pPr>
      <w:numPr>
        <w:numId w:val="1"/>
      </w:numPr>
      <w:spacing w:after="120"/>
      <w:ind w:left="360"/>
    </w:pPr>
  </w:style>
  <w:style w:type="character" w:customStyle="1" w:styleId="BulletsChar">
    <w:name w:val="Bullets Char"/>
    <w:basedOn w:val="DefaultParagraphFont"/>
    <w:link w:val="Bullets"/>
    <w:rsid w:val="00EA6FD6"/>
  </w:style>
  <w:style w:type="paragraph" w:styleId="ListParagraph">
    <w:name w:val="List Paragraph"/>
    <w:basedOn w:val="Normal"/>
    <w:link w:val="ListParagraphChar"/>
    <w:uiPriority w:val="34"/>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numPr>
        <w:numId w:val="3"/>
      </w:numPr>
      <w:spacing w:after="12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uiPriority w:val="99"/>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qFormat/>
    <w:rsid w:val="00BE12DC"/>
    <w:rPr>
      <w:i/>
      <w:iCs/>
    </w:rPr>
  </w:style>
  <w:style w:type="paragraph" w:customStyle="1" w:styleId="Section-Level1">
    <w:name w:val="Section - Level 1"/>
    <w:basedOn w:val="Normal"/>
    <w:link w:val="Section-Level1Char"/>
    <w:qFormat/>
    <w:rsid w:val="0010512C"/>
    <w:pPr>
      <w:keepNext/>
      <w:numPr>
        <w:numId w:val="11"/>
      </w:numPr>
      <w:spacing w:before="360" w:after="120"/>
    </w:pPr>
    <w:rPr>
      <w:rFonts w:ascii="Calibri" w:hAnsi="Calibri" w:cs="Times New Roman"/>
      <w:b/>
      <w:bCs/>
      <w:color w:val="4F81BD"/>
      <w:sz w:val="24"/>
      <w:szCs w:val="24"/>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qFormat/>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paragraph" w:customStyle="1" w:styleId="CM7">
    <w:name w:val="CM7"/>
    <w:basedOn w:val="Default"/>
    <w:next w:val="Default"/>
    <w:uiPriority w:val="99"/>
    <w:rsid w:val="00592B79"/>
    <w:pPr>
      <w:widowControl w:val="0"/>
      <w:spacing w:after="230"/>
    </w:pPr>
    <w:rPr>
      <w:rFonts w:ascii="JOBIHI+Arial,Bold" w:hAnsi="JOBIHI+Arial,Bold" w:cs="JOBIHI+Arial,Bold"/>
      <w:color w:val="auto"/>
    </w:rPr>
  </w:style>
  <w:style w:type="character" w:customStyle="1" w:styleId="Section-Level1Char">
    <w:name w:val="Section - Level 1 Char"/>
    <w:basedOn w:val="Heading2Char"/>
    <w:link w:val="Section-Level1"/>
    <w:rsid w:val="00592B79"/>
    <w:rPr>
      <w:rFonts w:ascii="Calibri" w:eastAsiaTheme="majorEastAsia" w:hAnsi="Calibri" w:cs="Times New Roman"/>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iT9pag2oTQAhVHPhQKHQe2CrgQjRwIBw&amp;url=http://lecacademy.org/&amp;psig=AFQjCNHOQCsfxsnAHJQkSIqMpKHl9pqh1g&amp;ust=1477991640107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2016</Template>
  <TotalTime>0</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Paula Edwards</cp:lastModifiedBy>
  <cp:revision>2</cp:revision>
  <cp:lastPrinted>2018-02-20T10:19:00Z</cp:lastPrinted>
  <dcterms:created xsi:type="dcterms:W3CDTF">2018-09-24T11:10:00Z</dcterms:created>
  <dcterms:modified xsi:type="dcterms:W3CDTF">2018-09-24T11:10:00Z</dcterms:modified>
</cp:coreProperties>
</file>