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8971" w14:textId="658DBECF" w:rsidR="001375E3" w:rsidRPr="00440F78" w:rsidRDefault="00BA1E1B" w:rsidP="007D05CD">
      <w:pPr>
        <w:spacing w:line="276" w:lineRule="auto"/>
        <w:rPr>
          <w:rFonts w:ascii="Avenir Next LT Pro" w:hAnsi="Avenir Next LT Pro" w:cstheme="minorHAnsi"/>
          <w:b/>
          <w:bCs/>
          <w:color w:val="205C40"/>
          <w:sz w:val="40"/>
          <w:szCs w:val="40"/>
        </w:rPr>
      </w:pPr>
      <w:r w:rsidRPr="00B46725">
        <w:rPr>
          <w:noProof/>
        </w:rPr>
        <w:drawing>
          <wp:anchor distT="0" distB="0" distL="114300" distR="114300" simplePos="0" relativeHeight="251658242" behindDoc="0" locked="0" layoutInCell="1" allowOverlap="1" wp14:anchorId="21EF32CF" wp14:editId="6E0EE8AC">
            <wp:simplePos x="0" y="0"/>
            <wp:positionH relativeFrom="page">
              <wp:posOffset>129540</wp:posOffset>
            </wp:positionH>
            <wp:positionV relativeFrom="paragraph">
              <wp:posOffset>10160</wp:posOffset>
            </wp:positionV>
            <wp:extent cx="1447800" cy="576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57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725">
        <w:rPr>
          <w:noProof/>
        </w:rPr>
        <mc:AlternateContent>
          <mc:Choice Requires="wps">
            <w:drawing>
              <wp:anchor distT="0" distB="0" distL="114300" distR="114300" simplePos="0" relativeHeight="251658241" behindDoc="0" locked="0" layoutInCell="1" allowOverlap="1" wp14:anchorId="2A027C15" wp14:editId="58A5D9B1">
                <wp:simplePos x="0" y="0"/>
                <wp:positionH relativeFrom="column">
                  <wp:posOffset>-2366010</wp:posOffset>
                </wp:positionH>
                <wp:positionV relativeFrom="paragraph">
                  <wp:posOffset>-2316480</wp:posOffset>
                </wp:positionV>
                <wp:extent cx="4659630" cy="4846320"/>
                <wp:effectExtent l="19050" t="38100" r="45720" b="30480"/>
                <wp:wrapNone/>
                <wp:docPr id="2" name="Star: 5 Points 2"/>
                <wp:cNvGraphicFramePr/>
                <a:graphic xmlns:a="http://schemas.openxmlformats.org/drawingml/2006/main">
                  <a:graphicData uri="http://schemas.microsoft.com/office/word/2010/wordprocessingShape">
                    <wps:wsp>
                      <wps:cNvSpPr/>
                      <wps:spPr>
                        <a:xfrm>
                          <a:off x="0" y="0"/>
                          <a:ext cx="4659630" cy="484632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D8C54" w14:textId="77777777" w:rsidR="00B46725" w:rsidRDefault="00B46725" w:rsidP="00B4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7C15" id="Star: 5 Points 2" o:spid="_x0000_s1026" style="position:absolute;margin-left:-186.3pt;margin-top:-182.4pt;width:366.9pt;height:38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9630,484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" adj="-11796480,,5400" path="m5,1851125r1779825,13l2329815,r549985,1851138l4659625,1851125,3219709,2995178r550008,1851130l2329815,3702234,889913,4846308,1439921,2995178,5,1851125xe" fillcolor="#c4d600" strokecolor="#c4d600" strokeweight="1pt">
                <v:stroke joinstyle="miter"/>
                <v:formulas/>
                <v:path arrowok="t" o:connecttype="custom" o:connectlocs="5,1851125;1779830,1851138;2329815,0;2879800,1851138;4659625,1851125;3219709,2995178;3769717,4846308;2329815,3702234;889913,4846308;1439921,2995178;5,1851125" o:connectangles="0,0,0,0,0,0,0,0,0,0,0" textboxrect="0,0,4659630,4846320"/>
                <v:textbox>
                  <w:txbxContent>
                    <w:p w14:paraId="601D8C54" w14:textId="77777777" w:rsidR="00B46725" w:rsidRDefault="00B46725" w:rsidP="00B46725">
                      <w:pPr>
                        <w:jc w:val="center"/>
                      </w:pPr>
                    </w:p>
                  </w:txbxContent>
                </v:textbox>
              </v:shape>
            </w:pict>
          </mc:Fallback>
        </mc:AlternateContent>
      </w:r>
      <w:r w:rsidR="005B107B">
        <w:rPr>
          <w:noProof/>
        </w:rPr>
        <w:drawing>
          <wp:anchor distT="0" distB="0" distL="114300" distR="114300" simplePos="0" relativeHeight="251658240" behindDoc="0" locked="0" layoutInCell="1" allowOverlap="1" wp14:anchorId="0ABD16D3" wp14:editId="7C585398">
            <wp:simplePos x="0" y="0"/>
            <wp:positionH relativeFrom="margin">
              <wp:posOffset>-2381250</wp:posOffset>
            </wp:positionH>
            <wp:positionV relativeFrom="paragraph">
              <wp:posOffset>-2186940</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EAA">
        <w:rPr>
          <w:noProof/>
        </w:rPr>
        <w:t xml:space="preserve">                               </w:t>
      </w:r>
      <w:r w:rsidR="001375E3">
        <w:tab/>
      </w:r>
      <w:r w:rsidR="001375E3">
        <w:tab/>
        <w:t xml:space="preserve">                  </w:t>
      </w:r>
      <w:r w:rsidR="00757EAA">
        <w:t xml:space="preserve">  </w:t>
      </w:r>
      <w:r w:rsidR="001375E3">
        <w:t xml:space="preserve"> </w:t>
      </w:r>
      <w:r w:rsidR="001375E3" w:rsidRPr="00440F78">
        <w:rPr>
          <w:rFonts w:ascii="Avenir Next LT Pro" w:hAnsi="Avenir Next LT Pro" w:cstheme="minorHAnsi"/>
          <w:b/>
          <w:bCs/>
          <w:color w:val="205C40"/>
          <w:sz w:val="40"/>
          <w:szCs w:val="40"/>
        </w:rPr>
        <w:t xml:space="preserve">JOB </w:t>
      </w:r>
    </w:p>
    <w:p w14:paraId="0E1C77A5" w14:textId="01E26552" w:rsidR="001375E3" w:rsidRPr="00440F78" w:rsidRDefault="00757EAA" w:rsidP="007D05CD">
      <w:pPr>
        <w:spacing w:line="276" w:lineRule="auto"/>
        <w:ind w:left="2880" w:firstLine="720"/>
        <w:rPr>
          <w:rFonts w:ascii="Avenir Next LT Pro" w:hAnsi="Avenir Next LT Pro" w:cstheme="minorHAnsi"/>
          <w:b/>
          <w:bCs/>
          <w:color w:val="205C40"/>
          <w:sz w:val="40"/>
          <w:szCs w:val="40"/>
        </w:rPr>
      </w:pPr>
      <w:r w:rsidRPr="00440F78">
        <w:rPr>
          <w:rFonts w:ascii="Avenir Next LT Pro" w:hAnsi="Avenir Next LT Pro" w:cstheme="minorHAnsi"/>
          <w:b/>
          <w:bCs/>
          <w:color w:val="205C40"/>
          <w:sz w:val="40"/>
          <w:szCs w:val="40"/>
        </w:rPr>
        <w:t xml:space="preserve"> </w:t>
      </w:r>
      <w:r w:rsidR="00635BE4">
        <w:rPr>
          <w:rFonts w:ascii="Avenir Next LT Pro" w:hAnsi="Avenir Next LT Pro" w:cstheme="minorHAnsi"/>
          <w:b/>
          <w:bCs/>
          <w:color w:val="205C40"/>
          <w:sz w:val="40"/>
          <w:szCs w:val="40"/>
        </w:rPr>
        <w:t xml:space="preserve">  </w:t>
      </w:r>
      <w:r w:rsidR="001375E3" w:rsidRPr="00440F78">
        <w:rPr>
          <w:rFonts w:ascii="Avenir Next LT Pro" w:hAnsi="Avenir Next LT Pro" w:cstheme="minorHAnsi"/>
          <w:b/>
          <w:bCs/>
          <w:color w:val="205C40"/>
          <w:sz w:val="40"/>
          <w:szCs w:val="40"/>
        </w:rPr>
        <w:t>DESCRIPTION</w:t>
      </w:r>
    </w:p>
    <w:p w14:paraId="26D6A319" w14:textId="6C83E812" w:rsidR="00757EAA" w:rsidRPr="00440F78" w:rsidRDefault="00757EAA" w:rsidP="007D05CD">
      <w:pPr>
        <w:spacing w:line="276" w:lineRule="auto"/>
        <w:ind w:left="2880" w:firstLine="720"/>
        <w:rPr>
          <w:rFonts w:ascii="Avenir Next LT Pro" w:hAnsi="Avenir Next LT Pro" w:cstheme="minorHAnsi"/>
          <w:b/>
          <w:bCs/>
          <w:color w:val="205C40"/>
          <w:sz w:val="14"/>
          <w:szCs w:val="14"/>
        </w:rPr>
      </w:pPr>
    </w:p>
    <w:p w14:paraId="136EE857" w14:textId="67139D00" w:rsidR="00757EAA" w:rsidRPr="00440F78" w:rsidRDefault="00757EAA" w:rsidP="007D05CD">
      <w:pPr>
        <w:spacing w:line="276" w:lineRule="auto"/>
        <w:ind w:left="2880" w:firstLine="720"/>
        <w:rPr>
          <w:rFonts w:ascii="Avenir Next LT Pro" w:hAnsi="Avenir Next LT Pro" w:cstheme="minorHAnsi"/>
          <w:sz w:val="24"/>
          <w:szCs w:val="24"/>
        </w:rPr>
      </w:pPr>
      <w:r w:rsidRPr="00440F78">
        <w:rPr>
          <w:rFonts w:ascii="Avenir Next LT Pro" w:hAnsi="Avenir Next LT Pro" w:cstheme="minorHAnsi"/>
          <w:sz w:val="40"/>
          <w:szCs w:val="40"/>
        </w:rPr>
        <w:t xml:space="preserve">   </w:t>
      </w:r>
      <w:r w:rsidRPr="00440F78">
        <w:rPr>
          <w:rFonts w:ascii="Avenir Next LT Pro" w:hAnsi="Avenir Next LT Pro" w:cstheme="minorHAnsi"/>
        </w:rPr>
        <w:t xml:space="preserve">Job Title: </w:t>
      </w:r>
    </w:p>
    <w:p w14:paraId="5E973C4C" w14:textId="01320A77" w:rsidR="00757EAA" w:rsidRDefault="00B47399" w:rsidP="00CB3DCF">
      <w:pPr>
        <w:spacing w:line="276" w:lineRule="auto"/>
        <w:ind w:left="3600"/>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 xml:space="preserve">Teacher of </w:t>
      </w:r>
      <w:r w:rsidR="00CB3DCF">
        <w:rPr>
          <w:rFonts w:ascii="Avenir Next LT Pro" w:hAnsi="Avenir Next LT Pro" w:cstheme="minorHAnsi"/>
          <w:b/>
          <w:bCs/>
          <w:color w:val="205C40"/>
          <w:sz w:val="28"/>
          <w:szCs w:val="28"/>
        </w:rPr>
        <w:t>Food, Cookery, Nutrition and Intervention</w:t>
      </w:r>
    </w:p>
    <w:p w14:paraId="77A62539" w14:textId="77777777" w:rsidR="00823EB6" w:rsidRDefault="00823EB6" w:rsidP="007D05CD">
      <w:pPr>
        <w:spacing w:line="276" w:lineRule="auto"/>
        <w:ind w:left="2880" w:firstLine="720"/>
        <w:rPr>
          <w:rFonts w:ascii="Avenir Next LT Pro" w:hAnsi="Avenir Next LT Pro" w:cstheme="minorHAnsi"/>
          <w:b/>
          <w:bCs/>
          <w:color w:val="205C40"/>
          <w:sz w:val="24"/>
          <w:szCs w:val="24"/>
        </w:rPr>
      </w:pPr>
    </w:p>
    <w:p w14:paraId="55075BAF" w14:textId="5A833C1E" w:rsidR="00757EAA" w:rsidRPr="00440F78" w:rsidRDefault="00757EAA" w:rsidP="007D05CD">
      <w:pPr>
        <w:spacing w:line="276" w:lineRule="auto"/>
        <w:ind w:left="2880" w:firstLine="720"/>
        <w:rPr>
          <w:rFonts w:ascii="Avenir Next LT Pro" w:hAnsi="Avenir Next LT Pro" w:cstheme="minorHAnsi"/>
          <w:b/>
          <w:bCs/>
          <w:color w:val="205C40"/>
          <w:sz w:val="6"/>
          <w:szCs w:val="6"/>
        </w:rPr>
      </w:pPr>
      <w:r w:rsidRPr="00440F78">
        <w:rPr>
          <w:rFonts w:ascii="Avenir Next LT Pro" w:hAnsi="Avenir Next LT Pro" w:cstheme="minorHAnsi"/>
          <w:b/>
          <w:bCs/>
          <w:color w:val="205C40"/>
          <w:sz w:val="24"/>
          <w:szCs w:val="24"/>
        </w:rPr>
        <w:t xml:space="preserve">    </w:t>
      </w:r>
    </w:p>
    <w:p w14:paraId="35551125" w14:textId="3A9CB006" w:rsidR="00757EAA" w:rsidRPr="00440F78" w:rsidRDefault="00757EAA" w:rsidP="007D05CD">
      <w:pPr>
        <w:spacing w:line="276" w:lineRule="auto"/>
        <w:ind w:left="2880" w:firstLine="720"/>
        <w:rPr>
          <w:rFonts w:ascii="Avenir Next LT Pro" w:hAnsi="Avenir Next LT Pro" w:cstheme="minorHAnsi"/>
        </w:rPr>
      </w:pPr>
      <w:r w:rsidRPr="00440F78">
        <w:rPr>
          <w:rFonts w:ascii="Avenir Next LT Pro" w:hAnsi="Avenir Next LT Pro" w:cstheme="minorHAnsi"/>
        </w:rPr>
        <w:t xml:space="preserve">    Location: </w:t>
      </w:r>
    </w:p>
    <w:p w14:paraId="7F6B3020" w14:textId="138FA6A7" w:rsidR="00995555" w:rsidRPr="00440F78" w:rsidRDefault="00592BCE" w:rsidP="009A1D4C">
      <w:pPr>
        <w:spacing w:line="276" w:lineRule="auto"/>
        <w:ind w:left="2381" w:firstLine="720"/>
        <w:rPr>
          <w:rFonts w:ascii="Avenir Next LT Pro" w:hAnsi="Avenir Next LT Pro" w:cstheme="minorHAnsi"/>
          <w:b/>
          <w:bCs/>
          <w:color w:val="205C40"/>
          <w:sz w:val="28"/>
          <w:szCs w:val="28"/>
        </w:rPr>
      </w:pPr>
      <w:r>
        <w:rPr>
          <w:rFonts w:ascii="Avenir Next LT Pro" w:hAnsi="Avenir Next LT Pro" w:cstheme="minorHAnsi"/>
          <w:b/>
          <w:bCs/>
          <w:color w:val="205C40"/>
          <w:sz w:val="24"/>
          <w:szCs w:val="24"/>
        </w:rPr>
        <w:t xml:space="preserve">         </w:t>
      </w:r>
      <w:r w:rsidR="00757EAA" w:rsidRPr="00440F78">
        <w:rPr>
          <w:rFonts w:ascii="Avenir Next LT Pro" w:hAnsi="Avenir Next LT Pro" w:cstheme="minorHAnsi"/>
          <w:b/>
          <w:bCs/>
          <w:color w:val="205C40"/>
          <w:sz w:val="24"/>
          <w:szCs w:val="24"/>
        </w:rPr>
        <w:t xml:space="preserve"> </w:t>
      </w:r>
      <w:r w:rsidR="0041570E">
        <w:rPr>
          <w:rFonts w:ascii="Avenir Next LT Pro" w:hAnsi="Avenir Next LT Pro" w:cstheme="minorHAnsi"/>
          <w:b/>
          <w:bCs/>
          <w:color w:val="205C40"/>
          <w:sz w:val="28"/>
          <w:szCs w:val="28"/>
        </w:rPr>
        <w:t>Humberston Academy</w:t>
      </w:r>
    </w:p>
    <w:p w14:paraId="2EA1E48B" w14:textId="77777777" w:rsidR="00995555" w:rsidRPr="00995555" w:rsidRDefault="00995555" w:rsidP="007D05CD">
      <w:pPr>
        <w:spacing w:line="276" w:lineRule="auto"/>
        <w:rPr>
          <w:rFonts w:cstheme="minorHAnsi"/>
          <w:b/>
          <w:bCs/>
          <w:color w:val="205C40"/>
          <w:sz w:val="12"/>
          <w:szCs w:val="12"/>
        </w:rPr>
      </w:pPr>
    </w:p>
    <w:tbl>
      <w:tblPr>
        <w:tblStyle w:val="TableGrid"/>
        <w:tblW w:w="0" w:type="auto"/>
        <w:tblLook w:val="04A0" w:firstRow="1" w:lastRow="0" w:firstColumn="1" w:lastColumn="0" w:noHBand="0" w:noVBand="1"/>
      </w:tblPr>
      <w:tblGrid>
        <w:gridCol w:w="2405"/>
        <w:gridCol w:w="6611"/>
      </w:tblGrid>
      <w:tr w:rsidR="00757EAA" w:rsidRPr="00440F78" w14:paraId="1D95AE54"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6849FDC" w14:textId="24EA85F5" w:rsidR="00757EAA" w:rsidRPr="00440F78" w:rsidRDefault="00757EAA"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9F76CC3" w14:textId="77777777" w:rsidR="000756B1" w:rsidRDefault="00CC4762" w:rsidP="007D05CD">
            <w:pPr>
              <w:spacing w:line="276" w:lineRule="auto"/>
              <w:rPr>
                <w:rFonts w:ascii="Avenir Next LT Pro" w:hAnsi="Avenir Next LT Pro" w:cstheme="minorHAnsi"/>
                <w:sz w:val="20"/>
                <w:szCs w:val="20"/>
              </w:rPr>
            </w:pPr>
            <w:r w:rsidRPr="00CC4762">
              <w:rPr>
                <w:rFonts w:ascii="Avenir Next LT Pro" w:hAnsi="Avenir Next LT Pro" w:cstheme="minorHAnsi"/>
                <w:sz w:val="20"/>
                <w:szCs w:val="20"/>
              </w:rPr>
              <w:t>To be an effective teacher (and tutor) who supports and challenges all students to achieve their full potential</w:t>
            </w:r>
          </w:p>
          <w:p w14:paraId="547B1BAD" w14:textId="77777777" w:rsidR="004B55CE" w:rsidRDefault="004B55CE" w:rsidP="007D05CD">
            <w:pPr>
              <w:spacing w:line="276" w:lineRule="auto"/>
              <w:rPr>
                <w:rFonts w:ascii="Avenir Next LT Pro" w:hAnsi="Avenir Next LT Pro" w:cstheme="minorHAnsi"/>
                <w:sz w:val="20"/>
                <w:szCs w:val="20"/>
              </w:rPr>
            </w:pPr>
          </w:p>
          <w:p w14:paraId="11E18E46" w14:textId="5EBF92CB" w:rsidR="004B55CE" w:rsidRDefault="004B55CE" w:rsidP="004B55CE">
            <w:pPr>
              <w:spacing w:line="276" w:lineRule="auto"/>
              <w:rPr>
                <w:rFonts w:ascii="Avenir Next LT Pro" w:hAnsi="Avenir Next LT Pro" w:cstheme="minorHAnsi"/>
                <w:sz w:val="20"/>
                <w:szCs w:val="20"/>
              </w:rPr>
            </w:pPr>
            <w:r w:rsidRPr="00F632AB">
              <w:rPr>
                <w:rFonts w:ascii="Avenir Next LT Pro" w:hAnsi="Avenir Next LT Pro" w:cstheme="minorHAnsi"/>
                <w:sz w:val="20"/>
                <w:szCs w:val="20"/>
              </w:rPr>
              <w:t xml:space="preserve">To </w:t>
            </w:r>
            <w:r>
              <w:rPr>
                <w:rFonts w:ascii="Avenir Next LT Pro" w:hAnsi="Avenir Next LT Pro" w:cstheme="minorHAnsi"/>
                <w:sz w:val="20"/>
                <w:szCs w:val="20"/>
              </w:rPr>
              <w:t xml:space="preserve">reduce barriers to learning for our most vulnerable students through </w:t>
            </w:r>
            <w:r w:rsidR="000F4E76">
              <w:rPr>
                <w:rFonts w:ascii="Avenir Next LT Pro" w:hAnsi="Avenir Next LT Pro" w:cstheme="minorHAnsi"/>
                <w:sz w:val="20"/>
                <w:szCs w:val="20"/>
              </w:rPr>
              <w:t xml:space="preserve">delivery </w:t>
            </w:r>
            <w:r>
              <w:rPr>
                <w:rFonts w:ascii="Avenir Next LT Pro" w:hAnsi="Avenir Next LT Pro" w:cstheme="minorHAnsi"/>
                <w:sz w:val="20"/>
                <w:szCs w:val="20"/>
              </w:rPr>
              <w:t xml:space="preserve">of intervention. </w:t>
            </w:r>
          </w:p>
          <w:p w14:paraId="18F58255" w14:textId="4C47E563" w:rsidR="004B55CE" w:rsidRPr="00367909" w:rsidRDefault="004B55CE" w:rsidP="007D05CD">
            <w:pPr>
              <w:spacing w:line="276" w:lineRule="auto"/>
              <w:rPr>
                <w:rFonts w:ascii="Avenir Next LT Pro" w:hAnsi="Avenir Next LT Pro" w:cstheme="minorHAnsi"/>
                <w:sz w:val="20"/>
                <w:szCs w:val="20"/>
              </w:rPr>
            </w:pPr>
          </w:p>
        </w:tc>
      </w:tr>
      <w:tr w:rsidR="00DA1CBB" w:rsidRPr="00440F78" w14:paraId="0CB08EF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BF17D"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BF631" w14:textId="77777777" w:rsidR="00DA1CBB" w:rsidRPr="00367909" w:rsidRDefault="00DA1CBB" w:rsidP="007D05CD">
            <w:pPr>
              <w:spacing w:line="276" w:lineRule="auto"/>
              <w:rPr>
                <w:rFonts w:ascii="Avenir Next LT Pro" w:hAnsi="Avenir Next LT Pro" w:cstheme="minorHAnsi"/>
                <w:b/>
                <w:bCs/>
                <w:color w:val="205C40"/>
                <w:sz w:val="20"/>
                <w:szCs w:val="20"/>
              </w:rPr>
            </w:pPr>
          </w:p>
        </w:tc>
      </w:tr>
      <w:tr w:rsidR="00DA1CBB" w:rsidRPr="00440F78" w14:paraId="4302E04E" w14:textId="77777777" w:rsidTr="00367909">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5A8A" w14:textId="317B7760" w:rsidR="00DA1CBB" w:rsidRPr="00440F78" w:rsidRDefault="005431C3" w:rsidP="007D05CD">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00DA1CBB" w:rsidRPr="00440F78">
              <w:rPr>
                <w:rFonts w:ascii="Avenir Next LT Pro" w:hAnsi="Avenir Next LT Pro" w:cstheme="minorHAnsi"/>
                <w:b/>
                <w:bCs/>
                <w:color w:val="205C40"/>
                <w:sz w:val="28"/>
                <w:szCs w:val="28"/>
              </w:rPr>
              <w:t xml:space="preserve">: </w:t>
            </w:r>
          </w:p>
          <w:p w14:paraId="418808CC" w14:textId="408B1BA5"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8F335" w14:textId="3D0F6B12"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The David Ross Education Trust (DRET) is a network of academies with a geographical focus on Northamptonshire, Leicestershire, Lincolnshire, Yorkshire/Humberside and London.  </w:t>
            </w:r>
          </w:p>
          <w:p w14:paraId="138B5C78" w14:textId="77777777" w:rsidR="00DA1CBB" w:rsidRPr="00367909" w:rsidRDefault="00DA1CBB" w:rsidP="007D05CD">
            <w:pPr>
              <w:spacing w:line="276" w:lineRule="auto"/>
              <w:rPr>
                <w:rFonts w:ascii="Avenir Next LT Pro" w:hAnsi="Avenir Next LT Pro" w:cstheme="minorHAnsi"/>
                <w:sz w:val="20"/>
                <w:szCs w:val="20"/>
              </w:rPr>
            </w:pPr>
          </w:p>
          <w:p w14:paraId="1AC642F1" w14:textId="14479AE8"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DA1CBB" w:rsidRPr="00440F78" w14:paraId="2746A453"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3F87C"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09951" w14:textId="77777777" w:rsidR="00DA1CBB" w:rsidRPr="00440F78" w:rsidRDefault="00DA1CBB" w:rsidP="007D05CD">
            <w:pPr>
              <w:spacing w:line="276" w:lineRule="auto"/>
              <w:rPr>
                <w:rFonts w:ascii="Avenir Next LT Pro" w:hAnsi="Avenir Next LT Pro" w:cstheme="minorHAnsi"/>
                <w:b/>
                <w:bCs/>
                <w:color w:val="205C40"/>
                <w:sz w:val="32"/>
                <w:szCs w:val="32"/>
              </w:rPr>
            </w:pPr>
          </w:p>
        </w:tc>
      </w:tr>
      <w:tr w:rsidR="00DA1CBB" w:rsidRPr="00440F78" w14:paraId="15B6B7C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ACD35" w14:textId="23D1C8B7" w:rsidR="00DA1CBB" w:rsidRPr="00440F78" w:rsidRDefault="00DA1CBB"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3F47EB" w14:textId="6B4E23C6" w:rsidR="00DA1CBB" w:rsidRPr="00440F78" w:rsidRDefault="00CB3DCF" w:rsidP="007D05CD">
            <w:pPr>
              <w:spacing w:line="276" w:lineRule="auto"/>
              <w:rPr>
                <w:rFonts w:ascii="Avenir Next LT Pro" w:hAnsi="Avenir Next LT Pro" w:cstheme="minorHAnsi"/>
              </w:rPr>
            </w:pPr>
            <w:r>
              <w:rPr>
                <w:rFonts w:ascii="Avenir Next LT Pro" w:hAnsi="Avenir Next LT Pro" w:cstheme="minorHAnsi"/>
              </w:rPr>
              <w:t xml:space="preserve">Curriculum Leader: Design Technology </w:t>
            </w:r>
          </w:p>
        </w:tc>
      </w:tr>
      <w:tr w:rsidR="00DA1CBB" w:rsidRPr="00440F78" w14:paraId="58E801A0"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F1DF2"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CD1C3" w14:textId="77777777" w:rsidR="00DA1CBB" w:rsidRPr="00440F78" w:rsidRDefault="00DA1CBB" w:rsidP="007D05CD">
            <w:pPr>
              <w:spacing w:line="276" w:lineRule="auto"/>
              <w:rPr>
                <w:rFonts w:ascii="Avenir Next LT Pro" w:hAnsi="Avenir Next LT Pro" w:cstheme="minorHAnsi"/>
                <w:highlight w:val="yellow"/>
              </w:rPr>
            </w:pPr>
          </w:p>
        </w:tc>
      </w:tr>
    </w:tbl>
    <w:p w14:paraId="2B7C6689" w14:textId="3ED9AB2C" w:rsidR="00127B1E" w:rsidRPr="00440F78" w:rsidRDefault="00127B1E" w:rsidP="007D05CD">
      <w:pPr>
        <w:spacing w:line="276" w:lineRule="auto"/>
        <w:rPr>
          <w:rFonts w:ascii="Avenir Next LT Pro" w:hAnsi="Avenir Next LT Pro" w:cstheme="minorHAnsi"/>
          <w:b/>
          <w:bCs/>
          <w:color w:val="205C40"/>
          <w:sz w:val="32"/>
          <w:szCs w:val="32"/>
        </w:rPr>
        <w:sectPr w:rsidR="00127B1E" w:rsidRPr="00440F78" w:rsidSect="001375E3">
          <w:footerReference w:type="default" r:id="rId12"/>
          <w:pgSz w:w="11906" w:h="16838"/>
          <w:pgMar w:top="1440" w:right="1440" w:bottom="1440" w:left="1440" w:header="709" w:footer="708" w:gutter="0"/>
          <w:cols w:space="708"/>
          <w:docGrid w:linePitch="360"/>
        </w:sectPr>
      </w:pPr>
    </w:p>
    <w:p w14:paraId="1D7E55F2" w14:textId="6C8606D1" w:rsidR="00AC08E7" w:rsidRDefault="00B4499A" w:rsidP="003E7D87">
      <w:pPr>
        <w:spacing w:line="276" w:lineRule="auto"/>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 xml:space="preserve">KEY </w:t>
      </w:r>
      <w:r w:rsidR="000C1111">
        <w:rPr>
          <w:rFonts w:ascii="Avenir Next LT Pro" w:hAnsi="Avenir Next LT Pro" w:cstheme="minorHAnsi"/>
          <w:b/>
          <w:bCs/>
          <w:color w:val="205C40"/>
          <w:sz w:val="36"/>
          <w:szCs w:val="36"/>
        </w:rPr>
        <w:t xml:space="preserve">RESPONSIBILITIES </w:t>
      </w:r>
    </w:p>
    <w:p w14:paraId="155A1372" w14:textId="178CD05B" w:rsidR="00ED040D" w:rsidRPr="000F4E76" w:rsidRDefault="00172821" w:rsidP="00172821">
      <w:pPr>
        <w:jc w:val="both"/>
        <w:rPr>
          <w:rFonts w:cs="Arial"/>
        </w:rPr>
      </w:pPr>
      <w:r w:rsidRPr="000F4E76">
        <w:rPr>
          <w:rFonts w:cs="Arial"/>
        </w:rPr>
        <w:t xml:space="preserve">This Job Description is not a comprehensive definition of the post.  Discussions will take place on a regular basis to clarify individual responsibilities within the general framework and character of the post as identified below.  </w:t>
      </w:r>
    </w:p>
    <w:p w14:paraId="7C35C78C" w14:textId="4449EC98" w:rsidR="00706C35" w:rsidRPr="004131A2" w:rsidRDefault="004131A2" w:rsidP="003E7D87">
      <w:pPr>
        <w:spacing w:line="276" w:lineRule="auto"/>
        <w:rPr>
          <w:rFonts w:ascii="Avenir Next LT Pro" w:hAnsi="Avenir Next LT Pro" w:cstheme="minorHAnsi"/>
          <w:b/>
          <w:bCs/>
          <w:caps/>
          <w:color w:val="205C40"/>
          <w:sz w:val="24"/>
          <w:szCs w:val="24"/>
        </w:rPr>
      </w:pPr>
      <w:r w:rsidRPr="004131A2">
        <w:rPr>
          <w:rFonts w:ascii="Avenir Next LT Pro" w:hAnsi="Avenir Next LT Pro" w:cstheme="minorHAnsi"/>
          <w:b/>
          <w:bCs/>
          <w:caps/>
          <w:color w:val="205C40"/>
          <w:sz w:val="24"/>
          <w:szCs w:val="24"/>
        </w:rPr>
        <w:t>Main Responsibilities</w:t>
      </w:r>
    </w:p>
    <w:p w14:paraId="790E883F" w14:textId="53588B17" w:rsidR="002C5A0D" w:rsidRDefault="002C5A0D" w:rsidP="002C5A0D">
      <w:pPr>
        <w:pStyle w:val="NoSpacing"/>
        <w:numPr>
          <w:ilvl w:val="0"/>
          <w:numId w:val="35"/>
        </w:numPr>
        <w:tabs>
          <w:tab w:val="left" w:pos="34"/>
        </w:tabs>
        <w:rPr>
          <w:lang w:val="en-US"/>
        </w:rPr>
      </w:pPr>
      <w:r>
        <w:rPr>
          <w:lang w:val="en-US"/>
        </w:rPr>
        <w:t>Teach the Food</w:t>
      </w:r>
      <w:r w:rsidR="00CB3DCF">
        <w:rPr>
          <w:lang w:val="en-US"/>
        </w:rPr>
        <w:t>, Cookery and Nutrition</w:t>
      </w:r>
      <w:r>
        <w:rPr>
          <w:lang w:val="en-US"/>
        </w:rPr>
        <w:t xml:space="preserve"> curriculum across the age and ability range</w:t>
      </w:r>
    </w:p>
    <w:p w14:paraId="3D8DD92A" w14:textId="77777777" w:rsidR="002C5A0D" w:rsidRDefault="002C5A0D" w:rsidP="002C5A0D">
      <w:pPr>
        <w:pStyle w:val="NoSpacing"/>
        <w:numPr>
          <w:ilvl w:val="0"/>
          <w:numId w:val="35"/>
        </w:numPr>
        <w:tabs>
          <w:tab w:val="left" w:pos="34"/>
        </w:tabs>
        <w:rPr>
          <w:lang w:val="en-US"/>
        </w:rPr>
      </w:pPr>
      <w:r>
        <w:rPr>
          <w:lang w:val="en-US"/>
        </w:rPr>
        <w:t>A</w:t>
      </w:r>
      <w:r w:rsidRPr="00CB747B">
        <w:rPr>
          <w:lang w:val="en-US"/>
        </w:rPr>
        <w:t>ccountable for the quality of teaching and learning and students’ progress and attainment of timetabled classes</w:t>
      </w:r>
    </w:p>
    <w:p w14:paraId="5343C8A3" w14:textId="20A5CB5B" w:rsidR="00CB3DCF" w:rsidRDefault="00CB3DCF" w:rsidP="002C5A0D">
      <w:pPr>
        <w:pStyle w:val="NoSpacing"/>
        <w:numPr>
          <w:ilvl w:val="0"/>
          <w:numId w:val="35"/>
        </w:numPr>
        <w:tabs>
          <w:tab w:val="left" w:pos="34"/>
        </w:tabs>
        <w:rPr>
          <w:lang w:val="en-US"/>
        </w:rPr>
      </w:pPr>
      <w:r>
        <w:rPr>
          <w:lang w:val="en-US"/>
        </w:rPr>
        <w:t>Delivery bespoke intervention to identified students</w:t>
      </w:r>
    </w:p>
    <w:p w14:paraId="05D0F8E7" w14:textId="77777777" w:rsidR="002C5A0D" w:rsidRDefault="002C5A0D" w:rsidP="002C5A0D">
      <w:pPr>
        <w:pStyle w:val="NoSpacing"/>
        <w:numPr>
          <w:ilvl w:val="0"/>
          <w:numId w:val="35"/>
        </w:numPr>
        <w:tabs>
          <w:tab w:val="left" w:pos="34"/>
        </w:tabs>
        <w:rPr>
          <w:lang w:val="en-US"/>
        </w:rPr>
      </w:pPr>
      <w:r>
        <w:rPr>
          <w:lang w:val="en-US"/>
        </w:rPr>
        <w:t>Set</w:t>
      </w:r>
      <w:r w:rsidRPr="00CB747B">
        <w:rPr>
          <w:lang w:val="en-US"/>
        </w:rPr>
        <w:t xml:space="preserve"> high expectations for standards of teaching, learning, conduct</w:t>
      </w:r>
      <w:r>
        <w:rPr>
          <w:lang w:val="en-US"/>
        </w:rPr>
        <w:t xml:space="preserve"> and relationships, and </w:t>
      </w:r>
      <w:r w:rsidRPr="00CB747B">
        <w:rPr>
          <w:lang w:val="en-US"/>
        </w:rPr>
        <w:t>model good practice</w:t>
      </w:r>
    </w:p>
    <w:p w14:paraId="3CE964D3" w14:textId="77777777" w:rsidR="002C5A0D" w:rsidRDefault="002C5A0D" w:rsidP="002C5A0D">
      <w:pPr>
        <w:pStyle w:val="NoSpacing"/>
        <w:numPr>
          <w:ilvl w:val="0"/>
          <w:numId w:val="35"/>
        </w:numPr>
        <w:tabs>
          <w:tab w:val="left" w:pos="34"/>
        </w:tabs>
        <w:rPr>
          <w:lang w:val="en-US"/>
        </w:rPr>
      </w:pPr>
      <w:r>
        <w:rPr>
          <w:lang w:val="en-US"/>
        </w:rPr>
        <w:t>Plan, and deliver engaging learning activities that are differentiated to meet the needs of all students, and that stretch and challenge students to achieve their potential</w:t>
      </w:r>
    </w:p>
    <w:p w14:paraId="60CDC140" w14:textId="77777777" w:rsidR="002C5A0D" w:rsidRDefault="002C5A0D" w:rsidP="002C5A0D">
      <w:pPr>
        <w:pStyle w:val="NoSpacing"/>
        <w:numPr>
          <w:ilvl w:val="0"/>
          <w:numId w:val="35"/>
        </w:numPr>
        <w:tabs>
          <w:tab w:val="left" w:pos="34"/>
        </w:tabs>
        <w:rPr>
          <w:lang w:val="en-US"/>
        </w:rPr>
      </w:pPr>
      <w:r>
        <w:rPr>
          <w:lang w:val="en-US"/>
        </w:rPr>
        <w:t>Mark students’ work and homework in line with the Academy marking and feedback policy</w:t>
      </w:r>
    </w:p>
    <w:p w14:paraId="507BA2D8" w14:textId="77777777" w:rsidR="002C5A0D" w:rsidRDefault="002C5A0D" w:rsidP="002C5A0D">
      <w:pPr>
        <w:pStyle w:val="NoSpacing"/>
        <w:numPr>
          <w:ilvl w:val="0"/>
          <w:numId w:val="35"/>
        </w:numPr>
        <w:tabs>
          <w:tab w:val="left" w:pos="34"/>
        </w:tabs>
        <w:rPr>
          <w:lang w:val="en-US"/>
        </w:rPr>
      </w:pPr>
      <w:r>
        <w:rPr>
          <w:lang w:val="en-US"/>
        </w:rPr>
        <w:t>Set and mark homework in line with the Academy homework policy</w:t>
      </w:r>
    </w:p>
    <w:p w14:paraId="32231635" w14:textId="77777777" w:rsidR="002C5A0D" w:rsidRPr="00F06F19" w:rsidRDefault="002C5A0D" w:rsidP="002C5A0D">
      <w:pPr>
        <w:pStyle w:val="NoSpacing"/>
        <w:numPr>
          <w:ilvl w:val="0"/>
          <w:numId w:val="35"/>
        </w:numPr>
        <w:tabs>
          <w:tab w:val="left" w:pos="34"/>
        </w:tabs>
        <w:rPr>
          <w:lang w:val="en-US"/>
        </w:rPr>
      </w:pPr>
      <w:r>
        <w:rPr>
          <w:lang w:val="en-US"/>
        </w:rPr>
        <w:t>Responsible for a tutor group</w:t>
      </w:r>
    </w:p>
    <w:p w14:paraId="0717ABA6" w14:textId="77777777" w:rsidR="002C5A0D" w:rsidRPr="00FA609D" w:rsidRDefault="002C5A0D" w:rsidP="002C5A0D">
      <w:pPr>
        <w:pStyle w:val="NoSpacing"/>
        <w:numPr>
          <w:ilvl w:val="0"/>
          <w:numId w:val="35"/>
        </w:numPr>
        <w:tabs>
          <w:tab w:val="left" w:pos="34"/>
        </w:tabs>
        <w:rPr>
          <w:lang w:val="en-US"/>
        </w:rPr>
      </w:pPr>
      <w:r>
        <w:rPr>
          <w:lang w:val="en-US"/>
        </w:rPr>
        <w:t>Responsible for target setting, tracking, monitoring student progress and achievement of own classes</w:t>
      </w:r>
    </w:p>
    <w:p w14:paraId="3220C238" w14:textId="77777777" w:rsidR="002C5A0D" w:rsidRDefault="002C5A0D" w:rsidP="002C5A0D">
      <w:pPr>
        <w:pStyle w:val="NoSpacing"/>
        <w:numPr>
          <w:ilvl w:val="0"/>
          <w:numId w:val="35"/>
        </w:numPr>
        <w:tabs>
          <w:tab w:val="left" w:pos="34"/>
        </w:tabs>
        <w:rPr>
          <w:lang w:val="en-US"/>
        </w:rPr>
      </w:pPr>
      <w:r>
        <w:rPr>
          <w:lang w:val="en-US"/>
        </w:rPr>
        <w:t>Ensure effective assessment for learning, consistent recording and reporting of students’ progress and the effective use of assessment data</w:t>
      </w:r>
    </w:p>
    <w:p w14:paraId="2DC799B0" w14:textId="77777777" w:rsidR="002C5A0D" w:rsidRDefault="002C5A0D" w:rsidP="002C5A0D">
      <w:pPr>
        <w:pStyle w:val="NoSpacing"/>
        <w:numPr>
          <w:ilvl w:val="0"/>
          <w:numId w:val="35"/>
        </w:numPr>
        <w:tabs>
          <w:tab w:val="left" w:pos="34"/>
        </w:tabs>
        <w:rPr>
          <w:lang w:val="en-US"/>
        </w:rPr>
      </w:pPr>
      <w:r>
        <w:rPr>
          <w:lang w:val="en-US"/>
        </w:rPr>
        <w:t>Monitoring of progress and standards of attainment through analysis of performance data in line with the academy’s assessment cycle</w:t>
      </w:r>
    </w:p>
    <w:p w14:paraId="5D5FC961" w14:textId="77777777" w:rsidR="002C5A0D" w:rsidRDefault="002C5A0D" w:rsidP="002C5A0D">
      <w:pPr>
        <w:pStyle w:val="NoSpacing"/>
        <w:numPr>
          <w:ilvl w:val="0"/>
          <w:numId w:val="35"/>
        </w:numPr>
        <w:tabs>
          <w:tab w:val="left" w:pos="34"/>
        </w:tabs>
        <w:rPr>
          <w:lang w:val="en-US"/>
        </w:rPr>
      </w:pPr>
      <w:r>
        <w:rPr>
          <w:lang w:val="en-US"/>
        </w:rPr>
        <w:t>Identifying students at risk of underachieving and in need of additional support</w:t>
      </w:r>
    </w:p>
    <w:p w14:paraId="3EBD8347" w14:textId="77777777" w:rsidR="002C5A0D" w:rsidRDefault="002C5A0D" w:rsidP="002C5A0D">
      <w:pPr>
        <w:pStyle w:val="NoSpacing"/>
        <w:numPr>
          <w:ilvl w:val="0"/>
          <w:numId w:val="35"/>
        </w:numPr>
        <w:tabs>
          <w:tab w:val="left" w:pos="34"/>
        </w:tabs>
        <w:rPr>
          <w:lang w:val="en-US"/>
        </w:rPr>
      </w:pPr>
      <w:r>
        <w:rPr>
          <w:lang w:val="en-US"/>
        </w:rPr>
        <w:t>Developing and implementing effective intervention strategies where required</w:t>
      </w:r>
    </w:p>
    <w:p w14:paraId="076209FF" w14:textId="77777777" w:rsidR="002C5A0D" w:rsidRDefault="002C5A0D" w:rsidP="002C5A0D">
      <w:pPr>
        <w:pStyle w:val="NoSpacing"/>
        <w:numPr>
          <w:ilvl w:val="0"/>
          <w:numId w:val="35"/>
        </w:numPr>
        <w:tabs>
          <w:tab w:val="left" w:pos="34"/>
        </w:tabs>
        <w:rPr>
          <w:lang w:val="en-US"/>
        </w:rPr>
      </w:pPr>
      <w:r>
        <w:rPr>
          <w:lang w:val="en-US"/>
        </w:rPr>
        <w:t>Monitor and evaluate all aspects of own teaching and learning, through active participation in the academy’s monitoring, evaluation and review cycle through: lesson observations;  work sampling; student interviews; and written reports as necessary</w:t>
      </w:r>
    </w:p>
    <w:p w14:paraId="57262EE3" w14:textId="77777777" w:rsidR="002C5A0D" w:rsidRDefault="002C5A0D" w:rsidP="002C5A0D">
      <w:pPr>
        <w:pStyle w:val="NoSpacing"/>
        <w:numPr>
          <w:ilvl w:val="0"/>
          <w:numId w:val="35"/>
        </w:numPr>
        <w:tabs>
          <w:tab w:val="left" w:pos="34"/>
        </w:tabs>
        <w:rPr>
          <w:lang w:val="en-US"/>
        </w:rPr>
      </w:pPr>
      <w:r>
        <w:rPr>
          <w:lang w:val="en-US"/>
        </w:rPr>
        <w:t>Develop a stimulating learning environment that promotes the identity of the department and celebrates achievement of students</w:t>
      </w:r>
    </w:p>
    <w:p w14:paraId="6EE19D98" w14:textId="77777777" w:rsidR="002C5A0D" w:rsidRDefault="002C5A0D" w:rsidP="002C5A0D">
      <w:pPr>
        <w:pStyle w:val="NoSpacing"/>
        <w:numPr>
          <w:ilvl w:val="0"/>
          <w:numId w:val="35"/>
        </w:numPr>
        <w:tabs>
          <w:tab w:val="left" w:pos="34"/>
        </w:tabs>
        <w:rPr>
          <w:lang w:val="en-US"/>
        </w:rPr>
      </w:pPr>
      <w:r>
        <w:rPr>
          <w:lang w:val="en-US"/>
        </w:rPr>
        <w:t>Attend meetings as required</w:t>
      </w:r>
    </w:p>
    <w:p w14:paraId="6067B5F8" w14:textId="77777777" w:rsidR="002C5A0D" w:rsidRDefault="002C5A0D" w:rsidP="002C5A0D">
      <w:pPr>
        <w:pStyle w:val="NoSpacing"/>
        <w:numPr>
          <w:ilvl w:val="0"/>
          <w:numId w:val="35"/>
        </w:numPr>
        <w:tabs>
          <w:tab w:val="left" w:pos="34"/>
        </w:tabs>
        <w:rPr>
          <w:lang w:val="en-US"/>
        </w:rPr>
      </w:pPr>
      <w:r>
        <w:rPr>
          <w:lang w:val="en-US"/>
        </w:rPr>
        <w:t>Attend parents evenings as required</w:t>
      </w:r>
    </w:p>
    <w:p w14:paraId="05BCDEB6" w14:textId="77777777" w:rsidR="002C5A0D" w:rsidRDefault="002C5A0D" w:rsidP="002C5A0D">
      <w:pPr>
        <w:pStyle w:val="NoSpacing"/>
        <w:numPr>
          <w:ilvl w:val="0"/>
          <w:numId w:val="35"/>
        </w:numPr>
        <w:tabs>
          <w:tab w:val="left" w:pos="34"/>
        </w:tabs>
        <w:rPr>
          <w:lang w:val="en-US"/>
        </w:rPr>
      </w:pPr>
      <w:r>
        <w:rPr>
          <w:lang w:val="en-US"/>
        </w:rPr>
        <w:t>Report to parents as per the Academy’s recording and reporting cycle</w:t>
      </w:r>
    </w:p>
    <w:p w14:paraId="39B8AA02" w14:textId="77777777" w:rsidR="002C5A0D" w:rsidRDefault="002C5A0D" w:rsidP="002C5A0D">
      <w:pPr>
        <w:pStyle w:val="NoSpacing"/>
        <w:numPr>
          <w:ilvl w:val="0"/>
          <w:numId w:val="35"/>
        </w:numPr>
        <w:tabs>
          <w:tab w:val="left" w:pos="34"/>
        </w:tabs>
        <w:rPr>
          <w:lang w:val="en-US"/>
        </w:rPr>
      </w:pPr>
      <w:r>
        <w:rPr>
          <w:lang w:val="en-US"/>
        </w:rPr>
        <w:t>Attend staff training and INSET as required</w:t>
      </w:r>
    </w:p>
    <w:p w14:paraId="7C5EE9E9" w14:textId="77777777" w:rsidR="002C5A0D" w:rsidRDefault="002C5A0D" w:rsidP="002C5A0D">
      <w:pPr>
        <w:pStyle w:val="NoSpacing"/>
        <w:numPr>
          <w:ilvl w:val="0"/>
          <w:numId w:val="35"/>
        </w:numPr>
        <w:tabs>
          <w:tab w:val="left" w:pos="34"/>
        </w:tabs>
        <w:rPr>
          <w:lang w:val="en-US"/>
        </w:rPr>
      </w:pPr>
      <w:r>
        <w:rPr>
          <w:lang w:val="en-US"/>
        </w:rPr>
        <w:t>Make a good contribution to the academy’s programme of enrichment and extension activities</w:t>
      </w:r>
    </w:p>
    <w:p w14:paraId="60409205" w14:textId="77777777" w:rsidR="002C5A0D" w:rsidRPr="00F06F19" w:rsidRDefault="002C5A0D" w:rsidP="002C5A0D">
      <w:pPr>
        <w:pStyle w:val="NoSpacing"/>
        <w:numPr>
          <w:ilvl w:val="0"/>
          <w:numId w:val="35"/>
        </w:numPr>
        <w:tabs>
          <w:tab w:val="left" w:pos="34"/>
        </w:tabs>
        <w:rPr>
          <w:lang w:val="en-US"/>
        </w:rPr>
      </w:pPr>
      <w:r>
        <w:rPr>
          <w:lang w:val="en-US"/>
        </w:rPr>
        <w:t>Uphold all relevant academy policies and health, safety and welfare requirements</w:t>
      </w:r>
    </w:p>
    <w:p w14:paraId="282EA5C1" w14:textId="77777777" w:rsidR="002C5A0D" w:rsidRDefault="002C5A0D" w:rsidP="002C5A0D">
      <w:pPr>
        <w:pStyle w:val="NoSpacing"/>
        <w:numPr>
          <w:ilvl w:val="0"/>
          <w:numId w:val="35"/>
        </w:numPr>
        <w:tabs>
          <w:tab w:val="left" w:pos="34"/>
        </w:tabs>
        <w:rPr>
          <w:lang w:val="en-US"/>
        </w:rPr>
      </w:pPr>
      <w:r>
        <w:rPr>
          <w:lang w:val="en-US"/>
        </w:rPr>
        <w:t>Supervise students during unstructured periods of recreation before, during and after school</w:t>
      </w:r>
    </w:p>
    <w:p w14:paraId="23D60E01" w14:textId="163DE422" w:rsidR="00842144" w:rsidRDefault="002C5A0D" w:rsidP="00B503C6">
      <w:pPr>
        <w:pStyle w:val="NoSpacing"/>
        <w:numPr>
          <w:ilvl w:val="0"/>
          <w:numId w:val="35"/>
        </w:numPr>
        <w:tabs>
          <w:tab w:val="left" w:pos="34"/>
        </w:tabs>
        <w:rPr>
          <w:lang w:val="en-US"/>
        </w:rPr>
      </w:pPr>
      <w:r>
        <w:rPr>
          <w:lang w:val="en-US"/>
        </w:rPr>
        <w:t>To undertake any other specific or time-limited leadership or management duties as directed by the Principal</w:t>
      </w:r>
    </w:p>
    <w:p w14:paraId="5B605AC7" w14:textId="77777777" w:rsidR="00B503C6" w:rsidRPr="00B503C6" w:rsidRDefault="00B503C6" w:rsidP="00B503C6">
      <w:pPr>
        <w:pStyle w:val="NoSpacing"/>
        <w:tabs>
          <w:tab w:val="left" w:pos="34"/>
        </w:tabs>
        <w:ind w:left="720"/>
        <w:rPr>
          <w:lang w:val="en-US"/>
        </w:rPr>
      </w:pPr>
    </w:p>
    <w:p w14:paraId="3B3A0C3B" w14:textId="6A82A3E5" w:rsidR="00706C35" w:rsidRPr="00152D5A" w:rsidRDefault="00746036" w:rsidP="003E7D87">
      <w:pPr>
        <w:spacing w:line="276" w:lineRule="auto"/>
        <w:rPr>
          <w:rFonts w:ascii="Avenir Next LT Pro" w:hAnsi="Avenir Next LT Pro" w:cstheme="minorHAnsi"/>
          <w:b/>
          <w:bCs/>
          <w:color w:val="205C40"/>
          <w:sz w:val="24"/>
          <w:szCs w:val="24"/>
        </w:rPr>
      </w:pPr>
      <w:r>
        <w:rPr>
          <w:rFonts w:ascii="Avenir Next LT Pro" w:hAnsi="Avenir Next LT Pro" w:cstheme="minorHAnsi"/>
          <w:b/>
          <w:bCs/>
          <w:caps/>
          <w:color w:val="205C40"/>
          <w:sz w:val="24"/>
          <w:szCs w:val="24"/>
        </w:rPr>
        <w:t>Teaching and Learning</w:t>
      </w:r>
    </w:p>
    <w:p w14:paraId="507E7301" w14:textId="3BE4829F" w:rsidR="00D44F87" w:rsidRPr="00CB3DCF" w:rsidRDefault="00D44F87"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Developing a high quality ethos of learning amongst students based on high expectations and a shared vision</w:t>
      </w:r>
    </w:p>
    <w:p w14:paraId="3AC8A75C" w14:textId="480E35F3" w:rsidR="00D44F87" w:rsidRPr="00CB3DCF" w:rsidRDefault="00D44F87"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Developing, implementing and reviewing support programmes, CPD and intervention to improve teaching and learning of your subject</w:t>
      </w:r>
    </w:p>
    <w:p w14:paraId="3EC9577A" w14:textId="4981AE80" w:rsidR="00D44F87" w:rsidRPr="00CB3DCF" w:rsidRDefault="00D44F87"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Delivering high quality support, mentoring, coaching, induction and CPD that improves teaching and learning and support professional development of colleagues</w:t>
      </w:r>
    </w:p>
    <w:p w14:paraId="4D2DC21B" w14:textId="54841EB5" w:rsidR="00D44F87" w:rsidRPr="00CB3DCF" w:rsidRDefault="00D44F87"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lastRenderedPageBreak/>
        <w:t>Acting as an exemplary role model teaching good and outstanding lessons and supporting colleagues to develop their own practice</w:t>
      </w:r>
    </w:p>
    <w:p w14:paraId="6F7C5707" w14:textId="0B02FAC5" w:rsidR="00D44F87" w:rsidRPr="00CB3DCF" w:rsidRDefault="00D44F87"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Supporting other team members with their subject specific knowledge</w:t>
      </w:r>
    </w:p>
    <w:p w14:paraId="1023A3DA" w14:textId="57BE1EEB" w:rsidR="00D44F87" w:rsidRPr="00CB3DCF" w:rsidRDefault="00D44F87"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Personalising and planning and teaching to ensure the achievement of students including those with SEND and Pupil Premium and other key groups</w:t>
      </w:r>
    </w:p>
    <w:p w14:paraId="4251A2DC" w14:textId="62706546" w:rsidR="00D44F87" w:rsidRPr="00CB3DCF" w:rsidRDefault="00D44F87"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Keeping up to date with new teaching and learning strategies and implement as appropriate to further develop the quality of teaching and learning across the department, Faculty and Academy</w:t>
      </w:r>
    </w:p>
    <w:p w14:paraId="50E1A265" w14:textId="3E8D1C10" w:rsidR="00D44F87" w:rsidRPr="00CB3DCF" w:rsidRDefault="00D44F87"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Supporting underperforming colleagues to improve and develop good practice across the department, Faculty and Academy</w:t>
      </w:r>
    </w:p>
    <w:p w14:paraId="19CE4819" w14:textId="00419126" w:rsidR="00F947CA" w:rsidRPr="00CB3DCF" w:rsidRDefault="00D44F87"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Taking part in demonstration and “model” lessons to support colleague professional development across the department, Faculty and Academy</w:t>
      </w:r>
    </w:p>
    <w:p w14:paraId="19B0B589" w14:textId="77777777" w:rsidR="00F947CA" w:rsidRPr="00CB3DCF" w:rsidRDefault="00F947CA"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We are committed to safeguarding and promoting the welfare of children and as part of this recruitment process, all successful applicants will be required to apply for an enhanced DBS</w:t>
      </w:r>
    </w:p>
    <w:p w14:paraId="2B310311" w14:textId="77777777" w:rsidR="00F947CA" w:rsidRPr="00CB3DCF" w:rsidRDefault="00F947CA" w:rsidP="00CB3DCF">
      <w:pPr>
        <w:pStyle w:val="ListParagraph"/>
        <w:numPr>
          <w:ilvl w:val="1"/>
          <w:numId w:val="7"/>
        </w:numPr>
        <w:autoSpaceDE w:val="0"/>
        <w:autoSpaceDN w:val="0"/>
        <w:adjustRightInd w:val="0"/>
        <w:ind w:left="723"/>
        <w:rPr>
          <w:rFonts w:cstheme="minorHAnsi"/>
          <w:lang w:val="en-US"/>
        </w:rPr>
      </w:pPr>
      <w:r w:rsidRPr="00CB3DCF">
        <w:rPr>
          <w:rFonts w:cstheme="minorHAnsi"/>
          <w:lang w:val="en-US"/>
        </w:rPr>
        <w:t>disclosure.</w:t>
      </w:r>
    </w:p>
    <w:p w14:paraId="3B736980" w14:textId="67114FAD" w:rsidR="00083AB6" w:rsidRDefault="00BD191A" w:rsidP="00083AB6">
      <w:pPr>
        <w:autoSpaceDE w:val="0"/>
        <w:autoSpaceDN w:val="0"/>
        <w:adjustRightInd w:val="0"/>
        <w:spacing w:after="200" w:line="276" w:lineRule="auto"/>
        <w:rPr>
          <w:rFonts w:ascii="Avenir Next LT Pro" w:hAnsi="Avenir Next LT Pro" w:cstheme="minorHAnsi"/>
          <w:b/>
          <w:bCs/>
          <w:caps/>
          <w:color w:val="205C40"/>
          <w:sz w:val="24"/>
          <w:szCs w:val="24"/>
        </w:rPr>
      </w:pPr>
      <w:r w:rsidRPr="00BD191A">
        <w:rPr>
          <w:rFonts w:ascii="Avenir Next LT Pro" w:hAnsi="Avenir Next LT Pro" w:cstheme="minorHAnsi"/>
          <w:b/>
          <w:bCs/>
          <w:caps/>
          <w:color w:val="205C40"/>
          <w:sz w:val="24"/>
          <w:szCs w:val="24"/>
        </w:rPr>
        <w:t>Performance Management</w:t>
      </w:r>
    </w:p>
    <w:p w14:paraId="30E56436" w14:textId="1959A084" w:rsidR="005879F3" w:rsidRPr="00CB3DCF" w:rsidRDefault="005879F3" w:rsidP="006772D8">
      <w:pPr>
        <w:pStyle w:val="ListParagraph"/>
        <w:numPr>
          <w:ilvl w:val="0"/>
          <w:numId w:val="12"/>
        </w:numPr>
        <w:autoSpaceDE w:val="0"/>
        <w:autoSpaceDN w:val="0"/>
        <w:adjustRightInd w:val="0"/>
        <w:spacing w:after="200" w:line="276" w:lineRule="auto"/>
        <w:rPr>
          <w:rFonts w:eastAsia="Calibri" w:cstheme="minorHAnsi"/>
          <w:lang w:val="en-US"/>
        </w:rPr>
      </w:pPr>
      <w:r w:rsidRPr="00CB3DCF">
        <w:rPr>
          <w:rFonts w:eastAsia="Calibri" w:cstheme="minorHAnsi"/>
          <w:lang w:val="en-US"/>
        </w:rPr>
        <w:t>Totality of performance</w:t>
      </w:r>
    </w:p>
    <w:p w14:paraId="6B423F3C" w14:textId="473CBEC9" w:rsidR="005879F3" w:rsidRPr="00CB3DCF" w:rsidRDefault="005879F3" w:rsidP="006772D8">
      <w:pPr>
        <w:pStyle w:val="ListParagraph"/>
        <w:numPr>
          <w:ilvl w:val="0"/>
          <w:numId w:val="12"/>
        </w:numPr>
        <w:autoSpaceDE w:val="0"/>
        <w:autoSpaceDN w:val="0"/>
        <w:adjustRightInd w:val="0"/>
        <w:spacing w:after="200" w:line="276" w:lineRule="auto"/>
        <w:rPr>
          <w:rFonts w:eastAsia="Calibri" w:cstheme="minorHAnsi"/>
          <w:lang w:val="en-US"/>
        </w:rPr>
      </w:pPr>
      <w:r w:rsidRPr="00CB3DCF">
        <w:rPr>
          <w:rFonts w:eastAsia="Calibri" w:cstheme="minorHAnsi"/>
          <w:lang w:val="en-US"/>
        </w:rPr>
        <w:t>Challenging objectives</w:t>
      </w:r>
    </w:p>
    <w:p w14:paraId="6780D5E8" w14:textId="28EF3DA5" w:rsidR="005879F3" w:rsidRPr="00CB3DCF" w:rsidRDefault="005879F3" w:rsidP="006772D8">
      <w:pPr>
        <w:pStyle w:val="ListParagraph"/>
        <w:numPr>
          <w:ilvl w:val="0"/>
          <w:numId w:val="12"/>
        </w:numPr>
        <w:autoSpaceDE w:val="0"/>
        <w:autoSpaceDN w:val="0"/>
        <w:adjustRightInd w:val="0"/>
        <w:spacing w:after="200" w:line="276" w:lineRule="auto"/>
        <w:rPr>
          <w:rFonts w:eastAsia="Calibri" w:cstheme="minorHAnsi"/>
          <w:lang w:val="en-US"/>
        </w:rPr>
      </w:pPr>
      <w:r w:rsidRPr="00CB3DCF">
        <w:rPr>
          <w:rFonts w:eastAsia="Calibri" w:cstheme="minorHAnsi"/>
          <w:lang w:val="en-US"/>
        </w:rPr>
        <w:t xml:space="preserve">Development </w:t>
      </w:r>
    </w:p>
    <w:p w14:paraId="27076BCD" w14:textId="003673EE" w:rsidR="00BD191A" w:rsidRPr="00CB3DCF" w:rsidRDefault="005879F3" w:rsidP="006772D8">
      <w:pPr>
        <w:pStyle w:val="ListParagraph"/>
        <w:numPr>
          <w:ilvl w:val="0"/>
          <w:numId w:val="12"/>
        </w:numPr>
        <w:autoSpaceDE w:val="0"/>
        <w:autoSpaceDN w:val="0"/>
        <w:adjustRightInd w:val="0"/>
        <w:spacing w:after="200" w:line="276" w:lineRule="auto"/>
        <w:rPr>
          <w:rFonts w:eastAsia="Calibri" w:cstheme="minorHAnsi"/>
          <w:lang w:val="en-US"/>
        </w:rPr>
      </w:pPr>
      <w:r w:rsidRPr="00CB3DCF">
        <w:rPr>
          <w:rFonts w:eastAsia="Calibri" w:cstheme="minorHAnsi"/>
          <w:lang w:val="en-US"/>
        </w:rPr>
        <w:t>Capability</w:t>
      </w:r>
    </w:p>
    <w:p w14:paraId="675CB4BA" w14:textId="5DCA541E" w:rsidR="00DD7DC8" w:rsidRPr="00CB3DCF" w:rsidRDefault="00DD7DC8" w:rsidP="00CB3DCF">
      <w:pPr>
        <w:autoSpaceDE w:val="0"/>
        <w:autoSpaceDN w:val="0"/>
        <w:adjustRightInd w:val="0"/>
        <w:spacing w:after="200" w:line="276" w:lineRule="auto"/>
        <w:jc w:val="both"/>
        <w:rPr>
          <w:rFonts w:eastAsia="Calibri" w:cstheme="minorHAnsi"/>
          <w:lang w:val="en-US"/>
        </w:rPr>
      </w:pPr>
      <w:r w:rsidRPr="00CB3DCF">
        <w:rPr>
          <w:rFonts w:eastAsia="Calibri" w:cstheme="minorHAnsi"/>
          <w:lang w:val="en-US"/>
        </w:rPr>
        <w:t>Your annual performance review is based on this overall job description and with particular emphasis on your individual annual targets.  These are set in discussion with your Line Manager and grouped under the headings:  Professional Development; Team Improvement Plan and Student Progress.</w:t>
      </w:r>
    </w:p>
    <w:p w14:paraId="681B95C4" w14:textId="09440800" w:rsidR="00481D6E" w:rsidRDefault="000177E6" w:rsidP="00083AB6">
      <w:pPr>
        <w:autoSpaceDE w:val="0"/>
        <w:autoSpaceDN w:val="0"/>
        <w:adjustRightInd w:val="0"/>
        <w:spacing w:after="200" w:line="276" w:lineRule="auto"/>
        <w:rPr>
          <w:rFonts w:ascii="Avenir Next LT Pro" w:hAnsi="Avenir Next LT Pro" w:cstheme="minorHAnsi"/>
          <w:b/>
          <w:bCs/>
          <w:caps/>
          <w:color w:val="205C40"/>
          <w:sz w:val="24"/>
          <w:szCs w:val="24"/>
        </w:rPr>
      </w:pPr>
      <w:r w:rsidRPr="000177E6">
        <w:rPr>
          <w:rFonts w:ascii="Avenir Next LT Pro" w:hAnsi="Avenir Next LT Pro" w:cstheme="minorHAnsi"/>
          <w:b/>
          <w:bCs/>
          <w:caps/>
          <w:color w:val="205C40"/>
          <w:sz w:val="24"/>
          <w:szCs w:val="24"/>
        </w:rPr>
        <w:t>Knowledge/skills/expertise</w:t>
      </w:r>
      <w:r w:rsidR="002E06A3" w:rsidRPr="002E06A3">
        <w:t xml:space="preserve"> </w:t>
      </w:r>
    </w:p>
    <w:p w14:paraId="55ED31CB" w14:textId="77777777" w:rsidR="00E65069" w:rsidRPr="00CB3DCF" w:rsidRDefault="00E65069" w:rsidP="00480B37">
      <w:pPr>
        <w:pStyle w:val="NoSpacing"/>
        <w:numPr>
          <w:ilvl w:val="0"/>
          <w:numId w:val="39"/>
        </w:numPr>
        <w:rPr>
          <w:lang w:val="en-US"/>
        </w:rPr>
      </w:pPr>
      <w:r w:rsidRPr="00CB3DCF">
        <w:rPr>
          <w:lang w:val="en-US"/>
        </w:rPr>
        <w:t>Excellent subject knowledge</w:t>
      </w:r>
    </w:p>
    <w:p w14:paraId="079C1C54" w14:textId="77777777" w:rsidR="00E65069" w:rsidRPr="00CB3DCF" w:rsidRDefault="00E65069" w:rsidP="00480B37">
      <w:pPr>
        <w:pStyle w:val="NoSpacing"/>
        <w:numPr>
          <w:ilvl w:val="0"/>
          <w:numId w:val="39"/>
        </w:numPr>
        <w:rPr>
          <w:lang w:val="en-US"/>
        </w:rPr>
      </w:pPr>
      <w:r w:rsidRPr="00CB3DCF">
        <w:rPr>
          <w:lang w:val="en-US"/>
        </w:rPr>
        <w:t>Thorough knowledge of the new national curriculum</w:t>
      </w:r>
    </w:p>
    <w:p w14:paraId="0AF7855B" w14:textId="77777777" w:rsidR="00E65069" w:rsidRPr="00CB3DCF" w:rsidRDefault="00E65069" w:rsidP="00480B37">
      <w:pPr>
        <w:pStyle w:val="NoSpacing"/>
        <w:numPr>
          <w:ilvl w:val="0"/>
          <w:numId w:val="39"/>
        </w:numPr>
        <w:rPr>
          <w:lang w:val="en-US"/>
        </w:rPr>
      </w:pPr>
      <w:r w:rsidRPr="00CB3DCF">
        <w:rPr>
          <w:lang w:val="en-US"/>
        </w:rPr>
        <w:t>Knowledge of new performance measures</w:t>
      </w:r>
    </w:p>
    <w:p w14:paraId="54C3A86F" w14:textId="77777777" w:rsidR="00E65069" w:rsidRPr="00CB3DCF" w:rsidRDefault="00E65069" w:rsidP="00480B37">
      <w:pPr>
        <w:pStyle w:val="NoSpacing"/>
        <w:numPr>
          <w:ilvl w:val="0"/>
          <w:numId w:val="39"/>
        </w:numPr>
        <w:rPr>
          <w:lang w:val="en-US"/>
        </w:rPr>
      </w:pPr>
      <w:r w:rsidRPr="00CB3DCF">
        <w:rPr>
          <w:lang w:val="en-US"/>
        </w:rPr>
        <w:t>Good working knowledge of examination specifications</w:t>
      </w:r>
    </w:p>
    <w:p w14:paraId="712182E3" w14:textId="77777777" w:rsidR="00E65069" w:rsidRPr="00CB3DCF" w:rsidRDefault="00E65069" w:rsidP="00480B37">
      <w:pPr>
        <w:pStyle w:val="NoSpacing"/>
        <w:numPr>
          <w:ilvl w:val="0"/>
          <w:numId w:val="39"/>
        </w:numPr>
        <w:rPr>
          <w:lang w:val="en-US"/>
        </w:rPr>
      </w:pPr>
      <w:r w:rsidRPr="00CB3DCF">
        <w:rPr>
          <w:lang w:val="en-US"/>
        </w:rPr>
        <w:t>Maintenance of good conduct and relationships</w:t>
      </w:r>
    </w:p>
    <w:p w14:paraId="2DA73321" w14:textId="77777777" w:rsidR="00E65069" w:rsidRPr="00CB3DCF" w:rsidRDefault="00E65069" w:rsidP="00480B37">
      <w:pPr>
        <w:pStyle w:val="NoSpacing"/>
        <w:numPr>
          <w:ilvl w:val="0"/>
          <w:numId w:val="39"/>
        </w:numPr>
        <w:rPr>
          <w:lang w:val="en-US"/>
        </w:rPr>
      </w:pPr>
      <w:r w:rsidRPr="00CB3DCF">
        <w:rPr>
          <w:lang w:val="en-US"/>
        </w:rPr>
        <w:t>Proven track record of delivering consistently good, and often outstanding, teaching and learning, and good outcomes for students</w:t>
      </w:r>
    </w:p>
    <w:p w14:paraId="02614BCA" w14:textId="77777777" w:rsidR="00E65069" w:rsidRPr="00CB3DCF" w:rsidRDefault="00E65069" w:rsidP="00480B37">
      <w:pPr>
        <w:pStyle w:val="NoSpacing"/>
        <w:numPr>
          <w:ilvl w:val="0"/>
          <w:numId w:val="39"/>
        </w:numPr>
        <w:rPr>
          <w:lang w:val="en-US"/>
        </w:rPr>
      </w:pPr>
      <w:r w:rsidRPr="00CB3DCF">
        <w:rPr>
          <w:lang w:val="en-US"/>
        </w:rPr>
        <w:t>In-depth knowledge of best practice in teaching, learning and assessment for, and of, learning</w:t>
      </w:r>
    </w:p>
    <w:p w14:paraId="69A52CD8" w14:textId="77777777" w:rsidR="00E65069" w:rsidRPr="00CB3DCF" w:rsidRDefault="00E65069" w:rsidP="00480B37">
      <w:pPr>
        <w:pStyle w:val="NoSpacing"/>
        <w:numPr>
          <w:ilvl w:val="0"/>
          <w:numId w:val="39"/>
        </w:numPr>
        <w:rPr>
          <w:lang w:val="en-US"/>
        </w:rPr>
      </w:pPr>
      <w:r w:rsidRPr="00CB3DCF">
        <w:rPr>
          <w:lang w:val="en-US"/>
        </w:rPr>
        <w:t>Thorough understanding of how to use performance data to monitor standards of attainment and to plan appropriate interventions</w:t>
      </w:r>
    </w:p>
    <w:p w14:paraId="00B6379C" w14:textId="77777777" w:rsidR="00E65069" w:rsidRPr="00CB3DCF" w:rsidRDefault="00E65069" w:rsidP="00480B37">
      <w:pPr>
        <w:pStyle w:val="NoSpacing"/>
        <w:numPr>
          <w:ilvl w:val="0"/>
          <w:numId w:val="39"/>
        </w:numPr>
        <w:rPr>
          <w:lang w:val="en-US"/>
        </w:rPr>
      </w:pPr>
      <w:r w:rsidRPr="00CB3DCF">
        <w:rPr>
          <w:lang w:val="en-US"/>
        </w:rPr>
        <w:t>Excellent interpersonal skills and the ability to inspire confidence, trust and respect amongst staff, students and families</w:t>
      </w:r>
    </w:p>
    <w:p w14:paraId="69801DAE" w14:textId="77777777" w:rsidR="00E65069" w:rsidRPr="00CB3DCF" w:rsidRDefault="00E65069" w:rsidP="00480B37">
      <w:pPr>
        <w:pStyle w:val="NoSpacing"/>
        <w:numPr>
          <w:ilvl w:val="0"/>
          <w:numId w:val="39"/>
        </w:numPr>
        <w:rPr>
          <w:lang w:val="en-US"/>
        </w:rPr>
      </w:pPr>
      <w:r w:rsidRPr="00CB3DCF">
        <w:rPr>
          <w:lang w:val="en-US"/>
        </w:rPr>
        <w:t>Excellent oral and communication skills and confidence in the use of new technologies</w:t>
      </w:r>
    </w:p>
    <w:p w14:paraId="72FF9D63" w14:textId="77777777" w:rsidR="00E65069" w:rsidRPr="00CB3DCF" w:rsidRDefault="00E65069" w:rsidP="00480B37">
      <w:pPr>
        <w:pStyle w:val="NoSpacing"/>
        <w:numPr>
          <w:ilvl w:val="0"/>
          <w:numId w:val="39"/>
        </w:numPr>
        <w:rPr>
          <w:lang w:val="en-US"/>
        </w:rPr>
      </w:pPr>
      <w:r w:rsidRPr="00CB3DCF">
        <w:rPr>
          <w:lang w:val="en-US"/>
        </w:rPr>
        <w:t>Experience of promoting a wide range of teaching methodologies</w:t>
      </w:r>
    </w:p>
    <w:p w14:paraId="27F6EDBD" w14:textId="1DBCF203" w:rsidR="00CC0AF6" w:rsidRPr="00480B37" w:rsidRDefault="00E65069" w:rsidP="00480B37">
      <w:pPr>
        <w:pStyle w:val="NoSpacing"/>
        <w:rPr>
          <w:color w:val="00B050"/>
          <w:lang w:val="en-US"/>
        </w:rPr>
      </w:pPr>
      <w:r w:rsidRPr="00282580">
        <w:rPr>
          <w:color w:val="00B050"/>
          <w:lang w:val="en-US"/>
        </w:rPr>
        <w:br/>
      </w:r>
    </w:p>
    <w:p w14:paraId="71C2CDF3" w14:textId="40B6A498" w:rsidR="002E06A3" w:rsidRDefault="00A93EC1" w:rsidP="00B112B8">
      <w:pPr>
        <w:tabs>
          <w:tab w:val="center" w:pos="4513"/>
        </w:tabs>
        <w:jc w:val="both"/>
        <w:rPr>
          <w:rFonts w:ascii="Avenir Next LT Pro" w:hAnsi="Avenir Next LT Pro" w:cstheme="minorHAnsi"/>
          <w:b/>
          <w:bCs/>
          <w:caps/>
          <w:color w:val="205C40"/>
          <w:sz w:val="24"/>
          <w:szCs w:val="24"/>
        </w:rPr>
      </w:pPr>
      <w:r w:rsidRPr="00A93EC1">
        <w:rPr>
          <w:rFonts w:ascii="Avenir Next LT Pro" w:hAnsi="Avenir Next LT Pro" w:cstheme="minorHAnsi"/>
          <w:b/>
          <w:bCs/>
          <w:caps/>
          <w:color w:val="205C40"/>
          <w:sz w:val="24"/>
          <w:szCs w:val="24"/>
        </w:rPr>
        <w:t>Pupil outcomes</w:t>
      </w:r>
    </w:p>
    <w:p w14:paraId="401FFD44" w14:textId="77777777" w:rsidR="00C05021" w:rsidRPr="00CB3DCF" w:rsidRDefault="00C05021" w:rsidP="006772D8">
      <w:pPr>
        <w:pStyle w:val="ListParagraph"/>
        <w:numPr>
          <w:ilvl w:val="0"/>
          <w:numId w:val="16"/>
        </w:numPr>
        <w:jc w:val="both"/>
        <w:rPr>
          <w:rFonts w:eastAsia="Calibri" w:cstheme="minorHAnsi"/>
        </w:rPr>
      </w:pPr>
      <w:r w:rsidRPr="00CB3DCF">
        <w:rPr>
          <w:rFonts w:eastAsia="Calibri" w:cstheme="minorHAnsi"/>
        </w:rPr>
        <w:t>Results</w:t>
      </w:r>
    </w:p>
    <w:p w14:paraId="41D87AE3" w14:textId="24611CD9" w:rsidR="00480B37" w:rsidRPr="00CB3DCF" w:rsidRDefault="00C05021" w:rsidP="00480B37">
      <w:pPr>
        <w:pStyle w:val="ListParagraph"/>
        <w:numPr>
          <w:ilvl w:val="0"/>
          <w:numId w:val="16"/>
        </w:numPr>
        <w:jc w:val="both"/>
        <w:rPr>
          <w:rFonts w:eastAsia="Calibri" w:cstheme="minorHAnsi"/>
        </w:rPr>
      </w:pPr>
      <w:r w:rsidRPr="00CB3DCF">
        <w:rPr>
          <w:rFonts w:eastAsia="Calibri" w:cstheme="minorHAnsi"/>
        </w:rPr>
        <w:t>Other examinations/accreditation</w:t>
      </w:r>
    </w:p>
    <w:p w14:paraId="1F49ACA5" w14:textId="48B80937" w:rsidR="00094C5F" w:rsidRPr="00B112B8" w:rsidRDefault="00222345" w:rsidP="00B112B8">
      <w:pPr>
        <w:autoSpaceDE w:val="0"/>
        <w:autoSpaceDN w:val="0"/>
        <w:adjustRightInd w:val="0"/>
        <w:spacing w:after="200" w:line="276" w:lineRule="auto"/>
        <w:rPr>
          <w:rFonts w:cstheme="minorHAnsi"/>
          <w:sz w:val="20"/>
          <w:szCs w:val="20"/>
        </w:rPr>
      </w:pPr>
      <w:r w:rsidRPr="00222345">
        <w:rPr>
          <w:rFonts w:ascii="Avenir Next LT Pro" w:hAnsi="Avenir Next LT Pro" w:cstheme="minorHAnsi"/>
          <w:b/>
          <w:bCs/>
          <w:caps/>
          <w:color w:val="205C40"/>
          <w:sz w:val="24"/>
          <w:szCs w:val="24"/>
        </w:rPr>
        <w:lastRenderedPageBreak/>
        <w:t>Resources</w:t>
      </w:r>
    </w:p>
    <w:p w14:paraId="3532AB58" w14:textId="77777777" w:rsidR="009F5A95" w:rsidRPr="00CB3DCF" w:rsidRDefault="009F5A95" w:rsidP="006772D8">
      <w:pPr>
        <w:pStyle w:val="ListParagraph"/>
        <w:numPr>
          <w:ilvl w:val="0"/>
          <w:numId w:val="17"/>
        </w:numPr>
        <w:autoSpaceDE w:val="0"/>
        <w:autoSpaceDN w:val="0"/>
        <w:adjustRightInd w:val="0"/>
        <w:spacing w:after="200" w:line="276" w:lineRule="auto"/>
        <w:rPr>
          <w:rFonts w:eastAsia="Calibri" w:cstheme="minorHAnsi"/>
        </w:rPr>
      </w:pPr>
      <w:r w:rsidRPr="00CB3DCF">
        <w:rPr>
          <w:rFonts w:eastAsia="Calibri" w:cstheme="minorHAnsi"/>
        </w:rPr>
        <w:t>Accommodation – ambience conducive to learning</w:t>
      </w:r>
    </w:p>
    <w:p w14:paraId="73E4274E" w14:textId="77777777" w:rsidR="009F5A95" w:rsidRPr="00CB3DCF" w:rsidRDefault="009F5A95" w:rsidP="006772D8">
      <w:pPr>
        <w:pStyle w:val="ListParagraph"/>
        <w:numPr>
          <w:ilvl w:val="0"/>
          <w:numId w:val="17"/>
        </w:numPr>
        <w:autoSpaceDE w:val="0"/>
        <w:autoSpaceDN w:val="0"/>
        <w:adjustRightInd w:val="0"/>
        <w:spacing w:after="200" w:line="276" w:lineRule="auto"/>
        <w:rPr>
          <w:rFonts w:eastAsia="Calibri" w:cstheme="minorHAnsi"/>
        </w:rPr>
      </w:pPr>
      <w:r w:rsidRPr="00CB3DCF">
        <w:rPr>
          <w:rFonts w:eastAsia="Calibri" w:cstheme="minorHAnsi"/>
        </w:rPr>
        <w:t>Risk assessment</w:t>
      </w:r>
    </w:p>
    <w:p w14:paraId="12C4E176" w14:textId="77777777" w:rsidR="009F5A95" w:rsidRPr="00CB3DCF" w:rsidRDefault="009F5A95" w:rsidP="006772D8">
      <w:pPr>
        <w:pStyle w:val="ListParagraph"/>
        <w:numPr>
          <w:ilvl w:val="0"/>
          <w:numId w:val="17"/>
        </w:numPr>
        <w:autoSpaceDE w:val="0"/>
        <w:autoSpaceDN w:val="0"/>
        <w:adjustRightInd w:val="0"/>
        <w:spacing w:after="200" w:line="276" w:lineRule="auto"/>
        <w:rPr>
          <w:rFonts w:eastAsia="Calibri" w:cstheme="minorHAnsi"/>
        </w:rPr>
      </w:pPr>
      <w:r w:rsidRPr="00CB3DCF">
        <w:rPr>
          <w:rFonts w:eastAsia="Calibri" w:cstheme="minorHAnsi"/>
        </w:rPr>
        <w:t>Value for money</w:t>
      </w:r>
    </w:p>
    <w:p w14:paraId="260A24BD" w14:textId="77777777" w:rsidR="009F5A95" w:rsidRPr="00CB3DCF" w:rsidRDefault="009F5A95" w:rsidP="006772D8">
      <w:pPr>
        <w:pStyle w:val="ListParagraph"/>
        <w:numPr>
          <w:ilvl w:val="0"/>
          <w:numId w:val="17"/>
        </w:numPr>
        <w:autoSpaceDE w:val="0"/>
        <w:autoSpaceDN w:val="0"/>
        <w:adjustRightInd w:val="0"/>
        <w:spacing w:after="200" w:line="276" w:lineRule="auto"/>
        <w:rPr>
          <w:rFonts w:eastAsia="Calibri" w:cstheme="minorHAnsi"/>
        </w:rPr>
      </w:pPr>
      <w:r w:rsidRPr="00CB3DCF">
        <w:rPr>
          <w:rFonts w:eastAsia="Calibri" w:cstheme="minorHAnsi"/>
        </w:rPr>
        <w:t>Effective deployment</w:t>
      </w:r>
    </w:p>
    <w:p w14:paraId="6E303B54" w14:textId="77777777" w:rsidR="009F5A95" w:rsidRPr="00CB3DCF" w:rsidRDefault="009F5A95" w:rsidP="006772D8">
      <w:pPr>
        <w:pStyle w:val="ListParagraph"/>
        <w:numPr>
          <w:ilvl w:val="0"/>
          <w:numId w:val="17"/>
        </w:numPr>
        <w:autoSpaceDE w:val="0"/>
        <w:autoSpaceDN w:val="0"/>
        <w:adjustRightInd w:val="0"/>
        <w:spacing w:after="200" w:line="276" w:lineRule="auto"/>
        <w:rPr>
          <w:rFonts w:eastAsia="Calibri" w:cstheme="minorHAnsi"/>
        </w:rPr>
      </w:pPr>
      <w:r w:rsidRPr="00CB3DCF">
        <w:rPr>
          <w:rFonts w:eastAsia="Calibri" w:cstheme="minorHAnsi"/>
        </w:rPr>
        <w:t>Safety</w:t>
      </w:r>
    </w:p>
    <w:p w14:paraId="53D084D4" w14:textId="77777777" w:rsidR="00094C5F" w:rsidRDefault="00094C5F" w:rsidP="00492AE2">
      <w:pPr>
        <w:autoSpaceDE w:val="0"/>
        <w:autoSpaceDN w:val="0"/>
        <w:adjustRightInd w:val="0"/>
        <w:spacing w:after="200" w:line="276" w:lineRule="auto"/>
        <w:rPr>
          <w:rFonts w:cstheme="minorHAnsi"/>
          <w:sz w:val="20"/>
          <w:szCs w:val="20"/>
        </w:rPr>
      </w:pPr>
    </w:p>
    <w:p w14:paraId="3F4114C4" w14:textId="77777777" w:rsidR="006C036B" w:rsidRDefault="006C036B" w:rsidP="0026484F">
      <w:pPr>
        <w:spacing w:after="0" w:line="240" w:lineRule="auto"/>
        <w:rPr>
          <w:rFonts w:eastAsia="Calibri" w:cstheme="minorHAnsi"/>
          <w:sz w:val="20"/>
          <w:szCs w:val="20"/>
        </w:rPr>
      </w:pPr>
    </w:p>
    <w:p w14:paraId="25A8E427" w14:textId="66FD36FF" w:rsidR="00B23893" w:rsidRDefault="00B23893" w:rsidP="0026484F">
      <w:pPr>
        <w:spacing w:after="0" w:line="240" w:lineRule="auto"/>
        <w:rPr>
          <w:rFonts w:ascii="Avenir Next LT Pro" w:hAnsi="Avenir Next LT Pro" w:cstheme="minorHAnsi"/>
          <w:b/>
          <w:bCs/>
          <w:caps/>
          <w:color w:val="205C40"/>
          <w:sz w:val="24"/>
          <w:szCs w:val="24"/>
        </w:rPr>
      </w:pPr>
      <w:r w:rsidRPr="00B23893">
        <w:rPr>
          <w:rFonts w:ascii="Avenir Next LT Pro" w:hAnsi="Avenir Next LT Pro" w:cstheme="minorHAnsi"/>
          <w:b/>
          <w:bCs/>
          <w:caps/>
          <w:color w:val="205C40"/>
          <w:sz w:val="24"/>
          <w:szCs w:val="24"/>
        </w:rPr>
        <w:t>NOTE:</w:t>
      </w:r>
      <w:r w:rsidR="007347F8" w:rsidRPr="007347F8">
        <w:t xml:space="preserve"> </w:t>
      </w:r>
    </w:p>
    <w:p w14:paraId="5CE38142" w14:textId="77777777" w:rsidR="006C036B" w:rsidRPr="00CB3DCF" w:rsidRDefault="0082745F" w:rsidP="0082745F">
      <w:pPr>
        <w:spacing w:after="200" w:line="276" w:lineRule="auto"/>
        <w:rPr>
          <w:rFonts w:eastAsia="Calibri" w:cstheme="minorHAnsi"/>
        </w:rPr>
      </w:pPr>
      <w:r w:rsidRPr="00CB3DCF">
        <w:rPr>
          <w:rFonts w:eastAsia="Calibri" w:cstheme="minorHAnsi"/>
        </w:rPr>
        <w:t>This Job Description may periodically be varied after consultation with the post holder.</w:t>
      </w:r>
    </w:p>
    <w:p w14:paraId="2E3512C0" w14:textId="3EC66A29" w:rsidR="0082745F" w:rsidRPr="0082745F" w:rsidRDefault="0082745F" w:rsidP="0082745F">
      <w:pPr>
        <w:spacing w:after="200" w:line="276" w:lineRule="auto"/>
        <w:rPr>
          <w:rFonts w:eastAsia="Calibri" w:cstheme="minorHAnsi"/>
          <w:sz w:val="20"/>
          <w:szCs w:val="20"/>
        </w:rPr>
      </w:pPr>
      <w:r w:rsidRPr="0082745F">
        <w:rPr>
          <w:rFonts w:eastAsia="Calibri" w:cstheme="minorHAnsi"/>
          <w:sz w:val="20"/>
          <w:szCs w:val="20"/>
        </w:rPr>
        <w:t xml:space="preserve"> </w:t>
      </w:r>
    </w:p>
    <w:p w14:paraId="112FCD75" w14:textId="7AA3F4FA" w:rsidR="0082745F" w:rsidRDefault="007347F8" w:rsidP="0082745F">
      <w:pPr>
        <w:spacing w:after="200" w:line="276" w:lineRule="auto"/>
        <w:rPr>
          <w:rFonts w:ascii="Avenir Next LT Pro" w:hAnsi="Avenir Next LT Pro" w:cstheme="minorHAnsi"/>
          <w:b/>
          <w:bCs/>
          <w:caps/>
          <w:color w:val="205C40"/>
          <w:sz w:val="24"/>
          <w:szCs w:val="24"/>
        </w:rPr>
      </w:pPr>
      <w:r w:rsidRPr="007347F8">
        <w:rPr>
          <w:rFonts w:ascii="Avenir Next LT Pro" w:hAnsi="Avenir Next LT Pro" w:cstheme="minorHAnsi"/>
          <w:b/>
          <w:bCs/>
          <w:caps/>
          <w:color w:val="205C40"/>
          <w:sz w:val="24"/>
          <w:szCs w:val="24"/>
        </w:rPr>
        <w:t>Key Responsibilities – all staff</w:t>
      </w:r>
      <w:r w:rsidR="00DF49F5">
        <w:rPr>
          <w:rFonts w:ascii="Avenir Next LT Pro" w:hAnsi="Avenir Next LT Pro" w:cstheme="minorHAnsi"/>
          <w:b/>
          <w:bCs/>
          <w:caps/>
          <w:color w:val="205C40"/>
          <w:sz w:val="24"/>
          <w:szCs w:val="24"/>
        </w:rPr>
        <w:t xml:space="preserve"> </w:t>
      </w:r>
    </w:p>
    <w:p w14:paraId="7811DD86" w14:textId="77777777" w:rsidR="00A17E6C" w:rsidRPr="00CB3DCF" w:rsidRDefault="00A17E6C" w:rsidP="006772D8">
      <w:pPr>
        <w:numPr>
          <w:ilvl w:val="0"/>
          <w:numId w:val="9"/>
        </w:numPr>
        <w:autoSpaceDE w:val="0"/>
        <w:autoSpaceDN w:val="0"/>
        <w:adjustRightInd w:val="0"/>
        <w:spacing w:before="60" w:after="60" w:line="240" w:lineRule="auto"/>
        <w:jc w:val="both"/>
        <w:rPr>
          <w:rFonts w:eastAsia="Calibri" w:cstheme="minorHAnsi"/>
        </w:rPr>
      </w:pPr>
      <w:r w:rsidRPr="00CB3DCF">
        <w:rPr>
          <w:rFonts w:eastAsia="Calibri" w:cstheme="minorHAnsi"/>
        </w:rPr>
        <w:t xml:space="preserve">To support the academy ethos </w:t>
      </w:r>
    </w:p>
    <w:p w14:paraId="606C4C46" w14:textId="77777777" w:rsidR="00A17E6C" w:rsidRPr="00CB3DCF" w:rsidRDefault="00A17E6C" w:rsidP="006772D8">
      <w:pPr>
        <w:numPr>
          <w:ilvl w:val="0"/>
          <w:numId w:val="9"/>
        </w:numPr>
        <w:autoSpaceDE w:val="0"/>
        <w:autoSpaceDN w:val="0"/>
        <w:adjustRightInd w:val="0"/>
        <w:spacing w:before="60" w:after="60" w:line="240" w:lineRule="auto"/>
        <w:jc w:val="both"/>
        <w:rPr>
          <w:rFonts w:eastAsia="Calibri" w:cstheme="minorHAnsi"/>
        </w:rPr>
      </w:pPr>
      <w:r w:rsidRPr="00CB3DCF">
        <w:rPr>
          <w:rFonts w:eastAsia="Calibri" w:cstheme="minorHAnsi"/>
        </w:rPr>
        <w:t>To contribute to academy-wide events including curriculum-focused events as part of the wider curriculum team, as and when required</w:t>
      </w:r>
    </w:p>
    <w:p w14:paraId="35B6F72A" w14:textId="77777777" w:rsidR="00A17E6C" w:rsidRPr="00CB3DCF" w:rsidRDefault="00A17E6C" w:rsidP="006772D8">
      <w:pPr>
        <w:numPr>
          <w:ilvl w:val="0"/>
          <w:numId w:val="9"/>
        </w:numPr>
        <w:autoSpaceDE w:val="0"/>
        <w:autoSpaceDN w:val="0"/>
        <w:adjustRightInd w:val="0"/>
        <w:spacing w:before="60" w:after="60" w:line="240" w:lineRule="auto"/>
        <w:jc w:val="both"/>
        <w:rPr>
          <w:rFonts w:eastAsia="Calibri" w:cstheme="minorHAnsi"/>
        </w:rPr>
      </w:pPr>
      <w:r w:rsidRPr="00CB3DCF">
        <w:rPr>
          <w:rFonts w:eastAsia="Calibri" w:cstheme="minorHAnsi"/>
        </w:rPr>
        <w:t>To support and contribute to the academy’s commitment to ‘Every Child Matters’ to enable children to be healthy; stay safe; enjoy and achieve; make a positive contribution; and achieve economic well-being</w:t>
      </w:r>
    </w:p>
    <w:p w14:paraId="4734E903" w14:textId="77777777" w:rsidR="00A17E6C" w:rsidRPr="00CB3DCF" w:rsidRDefault="00A17E6C" w:rsidP="006772D8">
      <w:pPr>
        <w:numPr>
          <w:ilvl w:val="0"/>
          <w:numId w:val="9"/>
        </w:numPr>
        <w:autoSpaceDE w:val="0"/>
        <w:autoSpaceDN w:val="0"/>
        <w:adjustRightInd w:val="0"/>
        <w:spacing w:before="60" w:after="60" w:line="240" w:lineRule="auto"/>
        <w:jc w:val="both"/>
        <w:rPr>
          <w:rFonts w:eastAsia="Calibri" w:cstheme="minorHAnsi"/>
        </w:rPr>
      </w:pPr>
      <w:r w:rsidRPr="00CB3DCF">
        <w:rPr>
          <w:rFonts w:eastAsia="Calibri" w:cstheme="minorHAnsi"/>
        </w:rPr>
        <w:t>To be aware of the academy’s duty of care in relation to staff, students and visitors and to comply with all health and safety policies at all times</w:t>
      </w:r>
    </w:p>
    <w:p w14:paraId="53DC015D" w14:textId="77777777" w:rsidR="00A17E6C" w:rsidRPr="00CB3DCF" w:rsidRDefault="00A17E6C" w:rsidP="006772D8">
      <w:pPr>
        <w:numPr>
          <w:ilvl w:val="0"/>
          <w:numId w:val="9"/>
        </w:numPr>
        <w:autoSpaceDE w:val="0"/>
        <w:autoSpaceDN w:val="0"/>
        <w:adjustRightInd w:val="0"/>
        <w:spacing w:before="60" w:after="60" w:line="240" w:lineRule="auto"/>
        <w:jc w:val="both"/>
        <w:rPr>
          <w:rFonts w:eastAsia="Calibri" w:cstheme="minorHAnsi"/>
        </w:rPr>
      </w:pPr>
      <w:r w:rsidRPr="00CB3DCF">
        <w:rPr>
          <w:rFonts w:eastAsia="Calibri" w:cstheme="minorHAnsi"/>
        </w:rPr>
        <w:t>To be aware of and comply with the codes of conduct, regulations and policies of the academy and its commitment to equal opportunities</w:t>
      </w:r>
    </w:p>
    <w:p w14:paraId="73D0F5DA" w14:textId="77777777" w:rsidR="00DF49F5" w:rsidRPr="00A17E6C" w:rsidRDefault="00DF49F5" w:rsidP="00DF49F5">
      <w:pPr>
        <w:autoSpaceDE w:val="0"/>
        <w:autoSpaceDN w:val="0"/>
        <w:adjustRightInd w:val="0"/>
        <w:spacing w:before="60" w:after="60" w:line="240" w:lineRule="auto"/>
        <w:ind w:left="720"/>
        <w:jc w:val="both"/>
        <w:rPr>
          <w:rFonts w:eastAsia="Calibri" w:cstheme="minorHAnsi"/>
          <w:sz w:val="20"/>
          <w:szCs w:val="20"/>
        </w:rPr>
      </w:pPr>
    </w:p>
    <w:p w14:paraId="36537706" w14:textId="4945E4B9" w:rsidR="00C76A8E" w:rsidRDefault="00C76A8E" w:rsidP="0004059E">
      <w:pPr>
        <w:ind w:left="2160" w:firstLine="720"/>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t>PERSON SPECIFICATION</w:t>
      </w:r>
    </w:p>
    <w:p w14:paraId="3C3F5B1F" w14:textId="77777777" w:rsidR="00E70162" w:rsidRPr="00CB3DCF" w:rsidRDefault="00E70162" w:rsidP="00E70162">
      <w:pPr>
        <w:rPr>
          <w:rFonts w:ascii="Avenir Next LT Pro" w:hAnsi="Avenir Next LT Pro" w:cstheme="minorHAnsi"/>
        </w:rPr>
      </w:pPr>
      <w:r w:rsidRPr="00CB3DCF">
        <w:rPr>
          <w:rFonts w:ascii="Avenir Next LT Pro" w:hAnsi="Avenir Next LT Pro" w:cstheme="minorHAnsi"/>
        </w:rPr>
        <w:t>Your application will be reviewed against the essential and desirable criteria listed below.</w:t>
      </w:r>
    </w:p>
    <w:p w14:paraId="196469E6" w14:textId="65978170" w:rsidR="00E70162" w:rsidRPr="00CB3DCF" w:rsidRDefault="00E70162" w:rsidP="00E70162">
      <w:pPr>
        <w:rPr>
          <w:rFonts w:ascii="Avenir Next LT Pro" w:hAnsi="Avenir Next LT Pro" w:cstheme="minorHAnsi"/>
          <w:b/>
          <w:bCs/>
          <w:color w:val="205C40"/>
          <w:sz w:val="40"/>
          <w:szCs w:val="40"/>
        </w:rPr>
      </w:pPr>
      <w:r w:rsidRPr="00CB3DCF">
        <w:rPr>
          <w:rFonts w:ascii="Avenir Next LT Pro" w:hAnsi="Avenir Next LT Pro" w:cstheme="minorHAnsi"/>
        </w:rPr>
        <w:t>Applicants are strongly advised to explicitly state and evidence how they meet each of the essential (and desirable) criteria in their application.</w:t>
      </w:r>
    </w:p>
    <w:p w14:paraId="1CBB9A3F" w14:textId="2BCC0B33" w:rsidR="00C76A8E" w:rsidRPr="00152D5A" w:rsidRDefault="00C76A8E" w:rsidP="00C76A8E">
      <w:pPr>
        <w:rPr>
          <w:rFonts w:ascii="Avenir Next LT Pro" w:hAnsi="Avenir Next LT Pro" w:cstheme="minorHAnsi"/>
          <w:b/>
          <w:bCs/>
          <w:color w:val="205C40"/>
          <w:sz w:val="6"/>
          <w:szCs w:val="6"/>
        </w:rPr>
      </w:pPr>
    </w:p>
    <w:tbl>
      <w:tblPr>
        <w:tblStyle w:val="TableGrid"/>
        <w:tblW w:w="0" w:type="auto"/>
        <w:tblLook w:val="04A0" w:firstRow="1" w:lastRow="0" w:firstColumn="1" w:lastColumn="0" w:noHBand="0" w:noVBand="1"/>
      </w:tblPr>
      <w:tblGrid>
        <w:gridCol w:w="5765"/>
        <w:gridCol w:w="1601"/>
        <w:gridCol w:w="1650"/>
      </w:tblGrid>
      <w:tr w:rsidR="004E602A" w:rsidRPr="00152D5A" w14:paraId="78D32F4C" w14:textId="77777777" w:rsidTr="00DF099B">
        <w:tc>
          <w:tcPr>
            <w:tcW w:w="5765" w:type="dxa"/>
            <w:tcBorders>
              <w:top w:val="single" w:sz="4" w:space="0" w:color="FFFFFF" w:themeColor="background1"/>
              <w:left w:val="single" w:sz="4" w:space="0" w:color="FFFFFF" w:themeColor="background1"/>
            </w:tcBorders>
          </w:tcPr>
          <w:p w14:paraId="1A6E9E8F" w14:textId="77777777" w:rsidR="004E602A" w:rsidRPr="00152D5A" w:rsidRDefault="004E602A" w:rsidP="00DF099B">
            <w:pPr>
              <w:spacing w:before="240" w:line="276" w:lineRule="auto"/>
              <w:rPr>
                <w:rFonts w:ascii="Avenir Next LT Pro" w:hAnsi="Avenir Next LT Pro" w:cstheme="minorHAnsi"/>
                <w:b/>
                <w:bCs/>
                <w:color w:val="205C40"/>
                <w:sz w:val="28"/>
                <w:szCs w:val="28"/>
              </w:rPr>
            </w:pPr>
          </w:p>
        </w:tc>
        <w:tc>
          <w:tcPr>
            <w:tcW w:w="1601" w:type="dxa"/>
            <w:shd w:val="clear" w:color="auto" w:fill="C4D600"/>
          </w:tcPr>
          <w:p w14:paraId="20C5A65F" w14:textId="77777777" w:rsidR="004E602A" w:rsidRPr="00152D5A" w:rsidRDefault="004E602A" w:rsidP="00DF099B">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Essential </w:t>
            </w:r>
          </w:p>
        </w:tc>
        <w:tc>
          <w:tcPr>
            <w:tcW w:w="1650" w:type="dxa"/>
            <w:shd w:val="clear" w:color="auto" w:fill="C4D600"/>
          </w:tcPr>
          <w:p w14:paraId="598C5CDB" w14:textId="77777777" w:rsidR="004E602A" w:rsidRPr="00152D5A" w:rsidRDefault="004E602A" w:rsidP="00DF099B">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Desirable </w:t>
            </w:r>
          </w:p>
        </w:tc>
      </w:tr>
      <w:tr w:rsidR="004E602A" w:rsidRPr="00152D5A" w14:paraId="13873B93" w14:textId="77777777" w:rsidTr="00DF099B">
        <w:tc>
          <w:tcPr>
            <w:tcW w:w="5765" w:type="dxa"/>
            <w:tcBorders>
              <w:right w:val="single" w:sz="4" w:space="0" w:color="205C40"/>
            </w:tcBorders>
            <w:shd w:val="clear" w:color="auto" w:fill="205C40"/>
          </w:tcPr>
          <w:p w14:paraId="58CA6C78" w14:textId="77777777" w:rsidR="004E602A" w:rsidRPr="00152D5A" w:rsidRDefault="004E602A" w:rsidP="00DF099B">
            <w:pPr>
              <w:spacing w:before="240" w:line="276" w:lineRule="auto"/>
              <w:rPr>
                <w:rFonts w:ascii="Avenir Next LT Pro" w:hAnsi="Avenir Next LT Pro" w:cstheme="minorHAnsi"/>
                <w:color w:val="FFFFFF" w:themeColor="background1"/>
                <w:sz w:val="20"/>
                <w:szCs w:val="20"/>
              </w:rPr>
            </w:pPr>
            <w:r w:rsidRPr="00152D5A">
              <w:rPr>
                <w:rFonts w:ascii="Avenir Next LT Pro" w:hAnsi="Avenir Next LT Pro" w:cstheme="minorHAnsi"/>
                <w:color w:val="FFFFFF" w:themeColor="background1"/>
                <w:sz w:val="20"/>
                <w:szCs w:val="20"/>
              </w:rPr>
              <w:t xml:space="preserve">Qualifications and Professional Development </w:t>
            </w:r>
          </w:p>
        </w:tc>
        <w:tc>
          <w:tcPr>
            <w:tcW w:w="1601" w:type="dxa"/>
            <w:tcBorders>
              <w:left w:val="single" w:sz="4" w:space="0" w:color="205C40"/>
              <w:right w:val="single" w:sz="4" w:space="0" w:color="205C40"/>
            </w:tcBorders>
            <w:shd w:val="clear" w:color="auto" w:fill="205C40"/>
          </w:tcPr>
          <w:p w14:paraId="68B02D27" w14:textId="77777777" w:rsidR="004E602A" w:rsidRPr="00152D5A" w:rsidRDefault="004E602A" w:rsidP="00DF099B">
            <w:pPr>
              <w:pStyle w:val="ListParagraph"/>
              <w:spacing w:before="240" w:after="160" w:line="276" w:lineRule="auto"/>
              <w:ind w:left="360"/>
              <w:rPr>
                <w:rFonts w:ascii="Avenir Next LT Pro" w:hAnsi="Avenir Next LT Pro" w:cstheme="minorHAnsi"/>
                <w:sz w:val="20"/>
                <w:szCs w:val="20"/>
              </w:rPr>
            </w:pPr>
          </w:p>
        </w:tc>
        <w:tc>
          <w:tcPr>
            <w:tcW w:w="1650" w:type="dxa"/>
            <w:tcBorders>
              <w:left w:val="single" w:sz="4" w:space="0" w:color="205C40"/>
            </w:tcBorders>
            <w:shd w:val="clear" w:color="auto" w:fill="205C40"/>
          </w:tcPr>
          <w:p w14:paraId="49C13125" w14:textId="77777777" w:rsidR="004E602A" w:rsidRPr="00152D5A" w:rsidRDefault="004E602A" w:rsidP="00DF099B">
            <w:pPr>
              <w:pStyle w:val="ListParagraph"/>
              <w:spacing w:before="240" w:after="160" w:line="276" w:lineRule="auto"/>
              <w:ind w:left="360"/>
              <w:rPr>
                <w:rFonts w:ascii="Avenir Next LT Pro" w:hAnsi="Avenir Next LT Pro" w:cstheme="minorHAnsi"/>
                <w:sz w:val="20"/>
                <w:szCs w:val="20"/>
              </w:rPr>
            </w:pPr>
          </w:p>
        </w:tc>
      </w:tr>
      <w:tr w:rsidR="004E602A" w:rsidRPr="00152D5A" w14:paraId="59D7A53C" w14:textId="77777777" w:rsidTr="00DF099B">
        <w:tc>
          <w:tcPr>
            <w:tcW w:w="5765" w:type="dxa"/>
            <w:shd w:val="clear" w:color="auto" w:fill="FFFFFF" w:themeFill="background1"/>
          </w:tcPr>
          <w:p w14:paraId="460535CB" w14:textId="77777777" w:rsidR="004E602A" w:rsidRPr="00367909" w:rsidRDefault="004E602A" w:rsidP="006772D8">
            <w:pPr>
              <w:pStyle w:val="ListParagraph"/>
              <w:numPr>
                <w:ilvl w:val="0"/>
                <w:numId w:val="2"/>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 xml:space="preserve">Relevant Subject Degree at BA or above.  </w:t>
            </w:r>
          </w:p>
        </w:tc>
        <w:tc>
          <w:tcPr>
            <w:tcW w:w="1601" w:type="dxa"/>
            <w:shd w:val="clear" w:color="auto" w:fill="FFFFFF" w:themeFill="background1"/>
          </w:tcPr>
          <w:p w14:paraId="50ED79D9" w14:textId="77777777" w:rsidR="004E602A" w:rsidRPr="0079613D" w:rsidRDefault="004E602A" w:rsidP="00CB3DCF">
            <w:pPr>
              <w:pStyle w:val="ListParagraph"/>
              <w:spacing w:before="240" w:line="276" w:lineRule="auto"/>
              <w:rPr>
                <w:rFonts w:ascii="Avenir Next LT Pro" w:hAnsi="Avenir Next LT Pro" w:cstheme="minorHAnsi"/>
                <w:b/>
                <w:bCs/>
                <w:sz w:val="20"/>
                <w:szCs w:val="20"/>
              </w:rPr>
            </w:pPr>
          </w:p>
        </w:tc>
        <w:tc>
          <w:tcPr>
            <w:tcW w:w="1650" w:type="dxa"/>
            <w:shd w:val="clear" w:color="auto" w:fill="FFFFFF" w:themeFill="background1"/>
          </w:tcPr>
          <w:p w14:paraId="41685026" w14:textId="77777777" w:rsidR="004E602A" w:rsidRPr="0079613D" w:rsidRDefault="004E602A" w:rsidP="00CB3DCF">
            <w:pPr>
              <w:pStyle w:val="NoSpacing"/>
              <w:numPr>
                <w:ilvl w:val="0"/>
                <w:numId w:val="4"/>
              </w:numPr>
              <w:jc w:val="center"/>
            </w:pPr>
          </w:p>
        </w:tc>
      </w:tr>
      <w:tr w:rsidR="004E602A" w:rsidRPr="00152D5A" w14:paraId="488572A3" w14:textId="77777777" w:rsidTr="00DF099B">
        <w:tc>
          <w:tcPr>
            <w:tcW w:w="5765" w:type="dxa"/>
            <w:shd w:val="clear" w:color="auto" w:fill="FFFFFF" w:themeFill="background1"/>
          </w:tcPr>
          <w:p w14:paraId="40EACA0F" w14:textId="77777777" w:rsidR="004E602A" w:rsidRPr="00367909" w:rsidRDefault="004E602A" w:rsidP="006772D8">
            <w:pPr>
              <w:pStyle w:val="ListParagraph"/>
              <w:numPr>
                <w:ilvl w:val="0"/>
                <w:numId w:val="2"/>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 xml:space="preserve">Qualified Teacher Status </w:t>
            </w:r>
          </w:p>
        </w:tc>
        <w:tc>
          <w:tcPr>
            <w:tcW w:w="1601" w:type="dxa"/>
            <w:shd w:val="clear" w:color="auto" w:fill="FFFFFF" w:themeFill="background1"/>
          </w:tcPr>
          <w:p w14:paraId="0A56846F" w14:textId="77777777" w:rsidR="004E602A" w:rsidRPr="00CB3DCF" w:rsidRDefault="004E602A" w:rsidP="00CB3DCF">
            <w:pPr>
              <w:spacing w:before="240" w:line="276" w:lineRule="auto"/>
              <w:rPr>
                <w:rFonts w:ascii="Avenir Next LT Pro" w:hAnsi="Avenir Next LT Pro" w:cstheme="minorHAnsi"/>
                <w:b/>
                <w:bCs/>
                <w:sz w:val="20"/>
                <w:szCs w:val="20"/>
              </w:rPr>
            </w:pPr>
          </w:p>
        </w:tc>
        <w:tc>
          <w:tcPr>
            <w:tcW w:w="1650" w:type="dxa"/>
            <w:shd w:val="clear" w:color="auto" w:fill="FFFFFF" w:themeFill="background1"/>
          </w:tcPr>
          <w:p w14:paraId="342347C7" w14:textId="77777777" w:rsidR="004E602A" w:rsidRPr="0079613D" w:rsidRDefault="004E602A" w:rsidP="00CB3DCF">
            <w:pPr>
              <w:pStyle w:val="NoSpacing"/>
              <w:numPr>
                <w:ilvl w:val="0"/>
                <w:numId w:val="4"/>
              </w:numPr>
              <w:jc w:val="center"/>
            </w:pPr>
          </w:p>
        </w:tc>
      </w:tr>
      <w:tr w:rsidR="004E602A" w:rsidRPr="00152D5A" w14:paraId="1FC6C551" w14:textId="77777777" w:rsidTr="00DF099B">
        <w:tc>
          <w:tcPr>
            <w:tcW w:w="5765" w:type="dxa"/>
            <w:shd w:val="clear" w:color="auto" w:fill="FFFFFF" w:themeFill="background1"/>
          </w:tcPr>
          <w:p w14:paraId="428BACC8" w14:textId="77777777" w:rsidR="004E602A" w:rsidRPr="00367909" w:rsidRDefault="004E602A" w:rsidP="006772D8">
            <w:pPr>
              <w:pStyle w:val="ListParagraph"/>
              <w:numPr>
                <w:ilvl w:val="0"/>
                <w:numId w:val="2"/>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Evidence of applying continued professional development. </w:t>
            </w:r>
          </w:p>
        </w:tc>
        <w:tc>
          <w:tcPr>
            <w:tcW w:w="1601" w:type="dxa"/>
            <w:shd w:val="clear" w:color="auto" w:fill="FFFFFF" w:themeFill="background1"/>
          </w:tcPr>
          <w:p w14:paraId="03705F22" w14:textId="77777777" w:rsidR="004E602A" w:rsidRPr="0079613D" w:rsidRDefault="004E602A" w:rsidP="006772D8">
            <w:pPr>
              <w:pStyle w:val="ListParagraph"/>
              <w:numPr>
                <w:ilvl w:val="0"/>
                <w:numId w:val="4"/>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08FE531A"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798B84EF" w14:textId="77777777" w:rsidTr="00DF099B">
        <w:tc>
          <w:tcPr>
            <w:tcW w:w="5765" w:type="dxa"/>
            <w:tcBorders>
              <w:right w:val="single" w:sz="4" w:space="0" w:color="205C40"/>
            </w:tcBorders>
            <w:shd w:val="clear" w:color="auto" w:fill="205C40"/>
          </w:tcPr>
          <w:p w14:paraId="278C8919" w14:textId="77777777" w:rsidR="004E602A" w:rsidRPr="00367909" w:rsidRDefault="004E602A" w:rsidP="00DF099B">
            <w:pPr>
              <w:spacing w:before="240" w:line="276" w:lineRule="auto"/>
              <w:rPr>
                <w:rFonts w:ascii="Avenir Next LT Pro" w:hAnsi="Avenir Next LT Pro" w:cstheme="minorHAnsi"/>
                <w:color w:val="205C40"/>
                <w:sz w:val="20"/>
                <w:szCs w:val="20"/>
              </w:rPr>
            </w:pPr>
            <w:r w:rsidRPr="00367909">
              <w:rPr>
                <w:rFonts w:ascii="Avenir Next LT Pro" w:hAnsi="Avenir Next LT Pro" w:cstheme="minorHAnsi"/>
                <w:color w:val="FFFFFF" w:themeColor="background1"/>
                <w:sz w:val="20"/>
                <w:szCs w:val="20"/>
              </w:rPr>
              <w:t xml:space="preserve">Experience </w:t>
            </w:r>
          </w:p>
        </w:tc>
        <w:tc>
          <w:tcPr>
            <w:tcW w:w="1601" w:type="dxa"/>
            <w:tcBorders>
              <w:left w:val="single" w:sz="4" w:space="0" w:color="205C40"/>
              <w:right w:val="single" w:sz="4" w:space="0" w:color="205C40"/>
            </w:tcBorders>
            <w:shd w:val="clear" w:color="auto" w:fill="205C40"/>
          </w:tcPr>
          <w:p w14:paraId="5574414C"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67F9E9CE"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1FB4ECF2" w14:textId="77777777" w:rsidTr="00DF099B">
        <w:tc>
          <w:tcPr>
            <w:tcW w:w="5765" w:type="dxa"/>
            <w:tcBorders>
              <w:right w:val="single" w:sz="4" w:space="0" w:color="auto"/>
            </w:tcBorders>
            <w:shd w:val="clear" w:color="auto" w:fill="FFFFFF" w:themeFill="background1"/>
          </w:tcPr>
          <w:p w14:paraId="7877C3C0"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lastRenderedPageBreak/>
              <w:t xml:space="preserve">Understanding of the current curriculum </w:t>
            </w:r>
            <w:r>
              <w:rPr>
                <w:rFonts w:ascii="Avenir Next LT Pro" w:hAnsi="Avenir Next LT Pro" w:cstheme="minorHAnsi"/>
                <w:sz w:val="20"/>
                <w:szCs w:val="20"/>
              </w:rPr>
              <w:t>discussions within your subject</w:t>
            </w:r>
            <w:r w:rsidRPr="00367909">
              <w:rPr>
                <w:rFonts w:ascii="Avenir Next LT Pro" w:hAnsi="Avenir Next LT Pro" w:cstheme="minorHAnsi"/>
                <w:sz w:val="20"/>
                <w:szCs w:val="20"/>
              </w:rPr>
              <w:t xml:space="preserve">. </w:t>
            </w:r>
          </w:p>
        </w:tc>
        <w:tc>
          <w:tcPr>
            <w:tcW w:w="1601" w:type="dxa"/>
            <w:tcBorders>
              <w:left w:val="single" w:sz="4" w:space="0" w:color="auto"/>
            </w:tcBorders>
            <w:shd w:val="clear" w:color="auto" w:fill="FFFFFF" w:themeFill="background1"/>
          </w:tcPr>
          <w:p w14:paraId="259D9191"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28E6220C"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1695C781" w14:textId="77777777" w:rsidTr="00DF099B">
        <w:tc>
          <w:tcPr>
            <w:tcW w:w="5765" w:type="dxa"/>
            <w:shd w:val="clear" w:color="auto" w:fill="FFFFFF" w:themeFill="background1"/>
          </w:tcPr>
          <w:p w14:paraId="7AF2B76F"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Pr>
                <w:rFonts w:ascii="Avenir Next LT Pro" w:hAnsi="Avenir Next LT Pro" w:cstheme="minorHAnsi"/>
                <w:sz w:val="20"/>
                <w:szCs w:val="20"/>
              </w:rPr>
              <w:t>Have taught across the key stages</w:t>
            </w:r>
          </w:p>
        </w:tc>
        <w:tc>
          <w:tcPr>
            <w:tcW w:w="1601" w:type="dxa"/>
            <w:shd w:val="clear" w:color="auto" w:fill="FFFFFF" w:themeFill="background1"/>
          </w:tcPr>
          <w:p w14:paraId="4C740E04" w14:textId="77777777" w:rsidR="004E602A" w:rsidRPr="0079613D" w:rsidRDefault="004E602A" w:rsidP="00DF099B">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1B4A907D" w14:textId="1BF71F61" w:rsidR="004E602A" w:rsidRPr="0043734D" w:rsidRDefault="004E602A" w:rsidP="006772D8">
            <w:pPr>
              <w:pStyle w:val="ListParagraph"/>
              <w:numPr>
                <w:ilvl w:val="0"/>
                <w:numId w:val="6"/>
              </w:numPr>
              <w:spacing w:before="240" w:line="276" w:lineRule="auto"/>
              <w:jc w:val="center"/>
              <w:rPr>
                <w:rFonts w:ascii="Avenir Next LT Pro" w:hAnsi="Avenir Next LT Pro" w:cstheme="minorHAnsi"/>
                <w:b/>
                <w:bCs/>
                <w:sz w:val="20"/>
                <w:szCs w:val="20"/>
              </w:rPr>
            </w:pPr>
          </w:p>
        </w:tc>
      </w:tr>
      <w:tr w:rsidR="004E602A" w:rsidRPr="00152D5A" w14:paraId="60833A75" w14:textId="77777777" w:rsidTr="00DF099B">
        <w:tc>
          <w:tcPr>
            <w:tcW w:w="5765" w:type="dxa"/>
            <w:shd w:val="clear" w:color="auto" w:fill="FFFFFF" w:themeFill="background1"/>
          </w:tcPr>
          <w:p w14:paraId="0B136D45"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The ability to quickly establish positive relationships with pupils and parents. </w:t>
            </w:r>
          </w:p>
        </w:tc>
        <w:tc>
          <w:tcPr>
            <w:tcW w:w="1601" w:type="dxa"/>
            <w:shd w:val="clear" w:color="auto" w:fill="FFFFFF" w:themeFill="background1"/>
          </w:tcPr>
          <w:p w14:paraId="03539589"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389C555A"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3B71C230" w14:textId="77777777" w:rsidTr="00DF099B">
        <w:tc>
          <w:tcPr>
            <w:tcW w:w="5765" w:type="dxa"/>
            <w:tcBorders>
              <w:right w:val="single" w:sz="4" w:space="0" w:color="205C40"/>
            </w:tcBorders>
            <w:shd w:val="clear" w:color="auto" w:fill="205C40"/>
          </w:tcPr>
          <w:p w14:paraId="25668667" w14:textId="77777777" w:rsidR="004E602A" w:rsidRPr="00367909" w:rsidRDefault="004E602A" w:rsidP="00DF099B">
            <w:pPr>
              <w:spacing w:before="240" w:line="276" w:lineRule="auto"/>
              <w:rPr>
                <w:rFonts w:ascii="Avenir Next LT Pro" w:hAnsi="Avenir Next LT Pro" w:cstheme="minorHAnsi"/>
                <w:sz w:val="20"/>
                <w:szCs w:val="20"/>
              </w:rPr>
            </w:pPr>
            <w:r w:rsidRPr="00367909">
              <w:rPr>
                <w:rFonts w:ascii="Avenir Next LT Pro" w:hAnsi="Avenir Next LT Pro" w:cstheme="minorHAnsi"/>
                <w:color w:val="FFFFFF" w:themeColor="background1"/>
                <w:sz w:val="20"/>
                <w:szCs w:val="20"/>
              </w:rPr>
              <w:t xml:space="preserve">Skills and Knowledge </w:t>
            </w:r>
          </w:p>
        </w:tc>
        <w:tc>
          <w:tcPr>
            <w:tcW w:w="1601" w:type="dxa"/>
            <w:tcBorders>
              <w:left w:val="single" w:sz="4" w:space="0" w:color="205C40"/>
              <w:right w:val="single" w:sz="4" w:space="0" w:color="205C40"/>
            </w:tcBorders>
            <w:shd w:val="clear" w:color="auto" w:fill="205C40"/>
          </w:tcPr>
          <w:p w14:paraId="693EE679"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2D1C8D9E"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7700AB17" w14:textId="77777777" w:rsidTr="00DF099B">
        <w:tc>
          <w:tcPr>
            <w:tcW w:w="5765" w:type="dxa"/>
            <w:tcBorders>
              <w:right w:val="single" w:sz="4" w:space="0" w:color="auto"/>
            </w:tcBorders>
            <w:shd w:val="clear" w:color="auto" w:fill="FFFFFF" w:themeFill="background1"/>
          </w:tcPr>
          <w:p w14:paraId="16337279"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Able to show evidence of the use of technology within teaching.</w:t>
            </w:r>
          </w:p>
        </w:tc>
        <w:tc>
          <w:tcPr>
            <w:tcW w:w="1601" w:type="dxa"/>
            <w:tcBorders>
              <w:left w:val="single" w:sz="4" w:space="0" w:color="auto"/>
              <w:right w:val="single" w:sz="4" w:space="0" w:color="auto"/>
            </w:tcBorders>
            <w:shd w:val="clear" w:color="auto" w:fill="FFFFFF" w:themeFill="background1"/>
          </w:tcPr>
          <w:p w14:paraId="4EBB46ED"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019CCA11"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52CB0C90" w14:textId="77777777" w:rsidTr="00DF099B">
        <w:tc>
          <w:tcPr>
            <w:tcW w:w="5765" w:type="dxa"/>
            <w:tcBorders>
              <w:right w:val="single" w:sz="4" w:space="0" w:color="auto"/>
            </w:tcBorders>
            <w:shd w:val="clear" w:color="auto" w:fill="FFFFFF" w:themeFill="background1"/>
          </w:tcPr>
          <w:p w14:paraId="6FB0850B"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thorough up to date knowledge of the range of teaching, learning and behaviour management strategies and how to implement them effectively.</w:t>
            </w:r>
          </w:p>
        </w:tc>
        <w:tc>
          <w:tcPr>
            <w:tcW w:w="1601" w:type="dxa"/>
            <w:tcBorders>
              <w:left w:val="single" w:sz="4" w:space="0" w:color="auto"/>
              <w:right w:val="single" w:sz="4" w:space="0" w:color="auto"/>
            </w:tcBorders>
            <w:shd w:val="clear" w:color="auto" w:fill="FFFFFF" w:themeFill="background1"/>
          </w:tcPr>
          <w:p w14:paraId="61ECEDC1"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596A0191"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A7F4BC0" w14:textId="77777777" w:rsidTr="00DF099B">
        <w:tc>
          <w:tcPr>
            <w:tcW w:w="5765" w:type="dxa"/>
            <w:tcBorders>
              <w:right w:val="single" w:sz="4" w:space="0" w:color="auto"/>
            </w:tcBorders>
            <w:shd w:val="clear" w:color="auto" w:fill="FFFFFF" w:themeFill="background1"/>
          </w:tcPr>
          <w:p w14:paraId="52ADD7F0"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thorough understanding of the national curriculum and a range of assessment requirements.</w:t>
            </w:r>
          </w:p>
        </w:tc>
        <w:tc>
          <w:tcPr>
            <w:tcW w:w="1601" w:type="dxa"/>
            <w:tcBorders>
              <w:left w:val="single" w:sz="4" w:space="0" w:color="auto"/>
              <w:right w:val="single" w:sz="4" w:space="0" w:color="auto"/>
            </w:tcBorders>
            <w:shd w:val="clear" w:color="auto" w:fill="FFFFFF" w:themeFill="background1"/>
          </w:tcPr>
          <w:p w14:paraId="7241F40B"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673C2C60"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FF8ECD4" w14:textId="77777777" w:rsidTr="00DF099B">
        <w:tc>
          <w:tcPr>
            <w:tcW w:w="5765" w:type="dxa"/>
            <w:tcBorders>
              <w:right w:val="single" w:sz="4" w:space="0" w:color="auto"/>
            </w:tcBorders>
            <w:shd w:val="clear" w:color="auto" w:fill="FFFFFF" w:themeFill="background1"/>
          </w:tcPr>
          <w:p w14:paraId="5089B54E"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clear understanding of age-related expectations for children within the Primary phases.</w:t>
            </w:r>
          </w:p>
        </w:tc>
        <w:tc>
          <w:tcPr>
            <w:tcW w:w="1601" w:type="dxa"/>
            <w:tcBorders>
              <w:left w:val="single" w:sz="4" w:space="0" w:color="auto"/>
              <w:right w:val="single" w:sz="4" w:space="0" w:color="auto"/>
            </w:tcBorders>
            <w:shd w:val="clear" w:color="auto" w:fill="FFFFFF" w:themeFill="background1"/>
          </w:tcPr>
          <w:p w14:paraId="4DFD3FC9"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0784E2AE"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6CB2D84F" w14:textId="77777777" w:rsidTr="00DF099B">
        <w:tc>
          <w:tcPr>
            <w:tcW w:w="5765" w:type="dxa"/>
            <w:shd w:val="clear" w:color="auto" w:fill="205C40"/>
          </w:tcPr>
          <w:p w14:paraId="5BA23CA8"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Personal Qualities </w:t>
            </w:r>
          </w:p>
        </w:tc>
        <w:tc>
          <w:tcPr>
            <w:tcW w:w="1601" w:type="dxa"/>
            <w:shd w:val="clear" w:color="auto" w:fill="205C40"/>
          </w:tcPr>
          <w:p w14:paraId="79FDE958"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1CEDDFE3"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38EC80E1" w14:textId="77777777" w:rsidTr="00DF099B">
        <w:tc>
          <w:tcPr>
            <w:tcW w:w="5765" w:type="dxa"/>
            <w:shd w:val="clear" w:color="auto" w:fill="auto"/>
          </w:tcPr>
          <w:p w14:paraId="24214E87"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Well-motivated, enthusiastic with a can-do attitude. </w:t>
            </w:r>
          </w:p>
        </w:tc>
        <w:tc>
          <w:tcPr>
            <w:tcW w:w="1601" w:type="dxa"/>
            <w:shd w:val="clear" w:color="auto" w:fill="auto"/>
          </w:tcPr>
          <w:p w14:paraId="2CCE6663"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053AB989"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9600F0D" w14:textId="77777777" w:rsidTr="00DF099B">
        <w:tc>
          <w:tcPr>
            <w:tcW w:w="5765" w:type="dxa"/>
            <w:shd w:val="clear" w:color="auto" w:fill="auto"/>
          </w:tcPr>
          <w:p w14:paraId="641915D9"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Honesty and integrity. </w:t>
            </w:r>
          </w:p>
        </w:tc>
        <w:tc>
          <w:tcPr>
            <w:tcW w:w="1601" w:type="dxa"/>
            <w:shd w:val="clear" w:color="auto" w:fill="auto"/>
          </w:tcPr>
          <w:p w14:paraId="31680511"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7E9731D7"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4351B5F" w14:textId="77777777" w:rsidTr="00DF099B">
        <w:tc>
          <w:tcPr>
            <w:tcW w:w="5765" w:type="dxa"/>
            <w:shd w:val="clear" w:color="auto" w:fill="auto"/>
          </w:tcPr>
          <w:p w14:paraId="452E28A2"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Good organisation and time management skills. </w:t>
            </w:r>
          </w:p>
        </w:tc>
        <w:tc>
          <w:tcPr>
            <w:tcW w:w="1601" w:type="dxa"/>
            <w:shd w:val="clear" w:color="auto" w:fill="auto"/>
          </w:tcPr>
          <w:p w14:paraId="16D9B090"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38573265"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6B9C21BF" w14:textId="77777777" w:rsidTr="00DF099B">
        <w:tc>
          <w:tcPr>
            <w:tcW w:w="5765" w:type="dxa"/>
            <w:shd w:val="clear" w:color="auto" w:fill="auto"/>
          </w:tcPr>
          <w:p w14:paraId="0467B45A"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To be a positive role model to our pupils.</w:t>
            </w:r>
          </w:p>
        </w:tc>
        <w:tc>
          <w:tcPr>
            <w:tcW w:w="1601" w:type="dxa"/>
            <w:shd w:val="clear" w:color="auto" w:fill="auto"/>
          </w:tcPr>
          <w:p w14:paraId="197E93F3"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27FE8E0C"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97769F9" w14:textId="77777777" w:rsidTr="00DF099B">
        <w:tc>
          <w:tcPr>
            <w:tcW w:w="5765" w:type="dxa"/>
            <w:shd w:val="clear" w:color="auto" w:fill="auto"/>
          </w:tcPr>
          <w:p w14:paraId="5FC78FD9"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Be flexible and resilient in response to a changing educational environment.</w:t>
            </w:r>
          </w:p>
        </w:tc>
        <w:tc>
          <w:tcPr>
            <w:tcW w:w="1601" w:type="dxa"/>
            <w:shd w:val="clear" w:color="auto" w:fill="auto"/>
          </w:tcPr>
          <w:p w14:paraId="05E67497"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751388E3"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6F1ADA38" w14:textId="77777777" w:rsidTr="00DF099B">
        <w:tc>
          <w:tcPr>
            <w:tcW w:w="5765" w:type="dxa"/>
            <w:shd w:val="clear" w:color="auto" w:fill="205C40"/>
          </w:tcPr>
          <w:p w14:paraId="45293286"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Equal Opportunities </w:t>
            </w:r>
          </w:p>
        </w:tc>
        <w:tc>
          <w:tcPr>
            <w:tcW w:w="1601" w:type="dxa"/>
            <w:shd w:val="clear" w:color="auto" w:fill="205C40"/>
          </w:tcPr>
          <w:p w14:paraId="588419F1"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5EE41588"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6E9209ED" w14:textId="77777777" w:rsidTr="00DF099B">
        <w:tc>
          <w:tcPr>
            <w:tcW w:w="5765" w:type="dxa"/>
            <w:shd w:val="clear" w:color="auto" w:fill="auto"/>
          </w:tcPr>
          <w:p w14:paraId="7432920C" w14:textId="77777777" w:rsidR="004E602A" w:rsidRPr="00367909" w:rsidRDefault="004E602A" w:rsidP="006772D8">
            <w:pPr>
              <w:pStyle w:val="ListParagraph"/>
              <w:numPr>
                <w:ilvl w:val="0"/>
                <w:numId w:val="3"/>
              </w:numPr>
              <w:spacing w:before="240"/>
              <w:rPr>
                <w:rFonts w:ascii="Avenir Next LT Pro" w:hAnsi="Avenir Next LT Pro" w:cstheme="minorHAnsi"/>
                <w:sz w:val="20"/>
                <w:szCs w:val="20"/>
              </w:rPr>
            </w:pPr>
            <w:r w:rsidRPr="00367909">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601" w:type="dxa"/>
            <w:shd w:val="clear" w:color="auto" w:fill="auto"/>
          </w:tcPr>
          <w:p w14:paraId="5319D25D"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rPr>
            </w:pPr>
          </w:p>
        </w:tc>
        <w:tc>
          <w:tcPr>
            <w:tcW w:w="1650" w:type="dxa"/>
            <w:shd w:val="clear" w:color="auto" w:fill="auto"/>
          </w:tcPr>
          <w:p w14:paraId="20A82B4E"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4AA38053" w14:textId="77777777" w:rsidTr="00DF099B">
        <w:tc>
          <w:tcPr>
            <w:tcW w:w="5765" w:type="dxa"/>
            <w:shd w:val="clear" w:color="auto" w:fill="205C40"/>
          </w:tcPr>
          <w:p w14:paraId="7393CAF2"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Safeguarding </w:t>
            </w:r>
          </w:p>
        </w:tc>
        <w:tc>
          <w:tcPr>
            <w:tcW w:w="1601" w:type="dxa"/>
            <w:shd w:val="clear" w:color="auto" w:fill="205C40"/>
          </w:tcPr>
          <w:p w14:paraId="07DD9DE1"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5BFE6CDF"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228812D6" w14:textId="77777777" w:rsidTr="00DF099B">
        <w:tc>
          <w:tcPr>
            <w:tcW w:w="5765" w:type="dxa"/>
            <w:shd w:val="clear" w:color="auto" w:fill="FFFFFF" w:themeFill="background1"/>
          </w:tcPr>
          <w:p w14:paraId="7D7EDDC5" w14:textId="77777777" w:rsidR="004E602A" w:rsidRPr="00367909" w:rsidRDefault="004E602A" w:rsidP="006772D8">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Committed to promoting the welfare of all children and creating a safe environment in which children can learn; considering, at all times, what is in the best interests of the child. </w:t>
            </w:r>
          </w:p>
        </w:tc>
        <w:tc>
          <w:tcPr>
            <w:tcW w:w="1601" w:type="dxa"/>
            <w:shd w:val="clear" w:color="auto" w:fill="FFFFFF" w:themeFill="background1"/>
          </w:tcPr>
          <w:p w14:paraId="070EC4CF"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CA0DE96"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6BA2FAC0" w14:textId="77777777" w:rsidTr="00DF099B">
        <w:tc>
          <w:tcPr>
            <w:tcW w:w="5765" w:type="dxa"/>
            <w:shd w:val="clear" w:color="auto" w:fill="FFFFFF" w:themeFill="background1"/>
          </w:tcPr>
          <w:p w14:paraId="59475643" w14:textId="77777777" w:rsidR="004E602A" w:rsidRPr="00367909" w:rsidRDefault="004E602A" w:rsidP="006772D8">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lastRenderedPageBreak/>
              <w:t>Play an important part in the wider safeguarding of children – identifying concerns, sharing information and taking prompt action to safeguard and protect them.</w:t>
            </w:r>
          </w:p>
        </w:tc>
        <w:tc>
          <w:tcPr>
            <w:tcW w:w="1601" w:type="dxa"/>
            <w:shd w:val="clear" w:color="auto" w:fill="FFFFFF" w:themeFill="background1"/>
          </w:tcPr>
          <w:p w14:paraId="20C51CDC"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4F0F991"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4043DDAA" w14:textId="77777777" w:rsidTr="00DF099B">
        <w:tc>
          <w:tcPr>
            <w:tcW w:w="5765" w:type="dxa"/>
            <w:shd w:val="clear" w:color="auto" w:fill="FFFFFF" w:themeFill="background1"/>
          </w:tcPr>
          <w:p w14:paraId="667A981A" w14:textId="77777777" w:rsidR="004E602A" w:rsidRPr="00367909" w:rsidRDefault="004E602A" w:rsidP="006772D8">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601" w:type="dxa"/>
            <w:shd w:val="clear" w:color="auto" w:fill="FFFFFF" w:themeFill="background1"/>
          </w:tcPr>
          <w:p w14:paraId="0829FD22"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DE0B31A"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36170A6C" w14:textId="77777777" w:rsidTr="00DF099B">
        <w:tc>
          <w:tcPr>
            <w:tcW w:w="5765" w:type="dxa"/>
            <w:tcBorders>
              <w:right w:val="single" w:sz="4" w:space="0" w:color="205C40"/>
            </w:tcBorders>
            <w:shd w:val="clear" w:color="auto" w:fill="205C40"/>
          </w:tcPr>
          <w:p w14:paraId="069B87D8"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Health and Safety </w:t>
            </w:r>
          </w:p>
        </w:tc>
        <w:tc>
          <w:tcPr>
            <w:tcW w:w="1601" w:type="dxa"/>
            <w:tcBorders>
              <w:left w:val="single" w:sz="4" w:space="0" w:color="205C40"/>
              <w:right w:val="single" w:sz="4" w:space="0" w:color="205C40"/>
            </w:tcBorders>
            <w:shd w:val="clear" w:color="auto" w:fill="205C40"/>
          </w:tcPr>
          <w:p w14:paraId="17B72F14"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6995E249"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7F912141" w14:textId="77777777" w:rsidTr="00DF099B">
        <w:tc>
          <w:tcPr>
            <w:tcW w:w="5765" w:type="dxa"/>
            <w:shd w:val="clear" w:color="auto" w:fill="FFFFFF" w:themeFill="background1"/>
          </w:tcPr>
          <w:p w14:paraId="2CF7AD66" w14:textId="77777777" w:rsidR="004E602A" w:rsidRPr="00367909" w:rsidRDefault="004E602A" w:rsidP="006772D8">
            <w:pPr>
              <w:pStyle w:val="ListParagraph"/>
              <w:numPr>
                <w:ilvl w:val="0"/>
                <w:numId w:val="1"/>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Aware of Health &amp; Safety and Safeguarding as appropriate to role</w:t>
            </w:r>
          </w:p>
        </w:tc>
        <w:tc>
          <w:tcPr>
            <w:tcW w:w="1601" w:type="dxa"/>
            <w:shd w:val="clear" w:color="auto" w:fill="FFFFFF" w:themeFill="background1"/>
          </w:tcPr>
          <w:p w14:paraId="34C3E591"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A4AB867" w14:textId="77777777" w:rsidR="004E602A" w:rsidRPr="0079613D" w:rsidRDefault="004E602A" w:rsidP="00DF099B">
            <w:pPr>
              <w:spacing w:before="240" w:line="276" w:lineRule="auto"/>
              <w:rPr>
                <w:rFonts w:ascii="Avenir Next LT Pro" w:hAnsi="Avenir Next LT Pro" w:cstheme="minorHAnsi"/>
                <w:b/>
                <w:bCs/>
                <w:sz w:val="20"/>
                <w:szCs w:val="20"/>
              </w:rPr>
            </w:pPr>
          </w:p>
        </w:tc>
      </w:tr>
    </w:tbl>
    <w:p w14:paraId="279C709F" w14:textId="77777777" w:rsidR="003500A8" w:rsidRDefault="003500A8" w:rsidP="003500A8">
      <w:pPr>
        <w:spacing w:line="276" w:lineRule="auto"/>
        <w:rPr>
          <w:rFonts w:ascii="Avenir Next LT Pro" w:hAnsi="Avenir Next LT Pro" w:cstheme="minorHAnsi"/>
          <w:i/>
          <w:iCs/>
          <w:sz w:val="20"/>
          <w:szCs w:val="20"/>
        </w:rPr>
      </w:pPr>
    </w:p>
    <w:p w14:paraId="147B2A04" w14:textId="58469A5B" w:rsidR="003500A8" w:rsidRPr="00500663" w:rsidRDefault="003500A8" w:rsidP="00CB3DCF">
      <w:pPr>
        <w:spacing w:line="276" w:lineRule="auto"/>
        <w:jc w:val="both"/>
        <w:rPr>
          <w:rFonts w:ascii="Avenir Next LT Pro" w:hAnsi="Avenir Next LT Pro" w:cstheme="minorHAnsi"/>
          <w:i/>
          <w:iCs/>
          <w:sz w:val="20"/>
          <w:szCs w:val="20"/>
        </w:rPr>
      </w:pPr>
      <w:r w:rsidRPr="00500663">
        <w:rPr>
          <w:rFonts w:ascii="Avenir Next LT Pro" w:hAnsi="Avenir Next LT Pro" w:cstheme="minorHAnsi"/>
          <w:i/>
          <w:iCs/>
          <w:sz w:val="20"/>
          <w:szCs w:val="20"/>
        </w:rPr>
        <w:t>Whilst every effort has been made to explain the main duties and responsibilities of the post, each individual task undertaken may not be identified.</w:t>
      </w:r>
    </w:p>
    <w:p w14:paraId="5407A542" w14:textId="77777777" w:rsidR="003500A8" w:rsidRPr="00500663" w:rsidRDefault="003500A8" w:rsidP="00CB3DCF">
      <w:pPr>
        <w:spacing w:line="276" w:lineRule="auto"/>
        <w:jc w:val="both"/>
        <w:rPr>
          <w:rFonts w:ascii="Avenir Next LT Pro" w:hAnsi="Avenir Next LT Pro" w:cstheme="minorHAnsi"/>
          <w:i/>
          <w:iCs/>
          <w:sz w:val="20"/>
          <w:szCs w:val="20"/>
        </w:rPr>
      </w:pPr>
      <w:r w:rsidRPr="00500663">
        <w:rPr>
          <w:rFonts w:ascii="Avenir Next LT Pro" w:hAnsi="Avenir Next LT Pro" w:cstheme="minorHAnsi"/>
          <w:i/>
          <w:iCs/>
          <w:sz w:val="20"/>
          <w:szCs w:val="20"/>
        </w:rPr>
        <w:t>The duties of this post may vary from time to time without changing the general character of the post or level of responsibility entailed.</w:t>
      </w:r>
    </w:p>
    <w:p w14:paraId="445BAB98" w14:textId="77777777" w:rsidR="003500A8" w:rsidRPr="00500663" w:rsidRDefault="003500A8" w:rsidP="00CB3DCF">
      <w:pPr>
        <w:spacing w:line="276" w:lineRule="auto"/>
        <w:jc w:val="both"/>
        <w:rPr>
          <w:rFonts w:ascii="Avenir Next LT Pro" w:hAnsi="Avenir Next LT Pro" w:cstheme="minorHAnsi"/>
          <w:i/>
          <w:iCs/>
          <w:sz w:val="20"/>
          <w:szCs w:val="20"/>
        </w:rPr>
      </w:pPr>
      <w:r w:rsidRPr="00500663">
        <w:rPr>
          <w:rFonts w:ascii="Avenir Next LT Pro" w:hAnsi="Avenir Next LT Pro" w:cstheme="minorHAnsi"/>
          <w:i/>
          <w:iCs/>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BD2BF2A" w14:textId="77777777" w:rsidR="003500A8" w:rsidRPr="00500663" w:rsidRDefault="003500A8" w:rsidP="00CB3DCF">
      <w:pPr>
        <w:spacing w:line="276" w:lineRule="auto"/>
        <w:jc w:val="both"/>
        <w:rPr>
          <w:rFonts w:ascii="Avenir Next LT Pro" w:hAnsi="Avenir Next LT Pro" w:cstheme="minorHAnsi"/>
          <w:i/>
          <w:iCs/>
          <w:sz w:val="20"/>
          <w:szCs w:val="20"/>
        </w:rPr>
      </w:pPr>
      <w:r w:rsidRPr="00500663">
        <w:rPr>
          <w:rFonts w:ascii="Avenir Next LT Pro" w:hAnsi="Avenir Next LT Pro" w:cstheme="minorHAnsi"/>
          <w:i/>
          <w:iCs/>
          <w:sz w:val="20"/>
          <w:szCs w:val="20"/>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2EFC52AD" w14:textId="77777777" w:rsidR="003500A8" w:rsidRPr="00500663" w:rsidRDefault="003500A8" w:rsidP="00CB3DCF">
      <w:pPr>
        <w:spacing w:line="276" w:lineRule="auto"/>
        <w:jc w:val="both"/>
        <w:rPr>
          <w:rFonts w:ascii="Avenir Next LT Pro" w:hAnsi="Avenir Next LT Pro" w:cstheme="minorHAnsi"/>
          <w:i/>
          <w:iCs/>
          <w:sz w:val="20"/>
          <w:szCs w:val="20"/>
        </w:rPr>
      </w:pPr>
      <w:r w:rsidRPr="00500663">
        <w:rPr>
          <w:rFonts w:ascii="Avenir Next LT Pro" w:hAnsi="Avenir Next LT Pro" w:cstheme="minorHAnsi"/>
          <w:i/>
          <w:iCs/>
          <w:sz w:val="20"/>
          <w:szCs w:val="20"/>
        </w:rPr>
        <w:t xml:space="preserve">The David Ross Education Trust is committed to safeguarding and promoting the welfare of children and applicants must be willing to undergo vetting appropriate to the post, including a social media presence check and Enhanced DBS check. The successful applicant will be expected to adhere to all safeguarding, welfare and health and safety policies and procedures of the Trust. </w:t>
      </w:r>
    </w:p>
    <w:p w14:paraId="20FC74F7" w14:textId="77777777" w:rsidR="003500A8" w:rsidRPr="00500663" w:rsidRDefault="003500A8" w:rsidP="00CB3DCF">
      <w:pPr>
        <w:spacing w:line="276" w:lineRule="auto"/>
        <w:jc w:val="both"/>
        <w:rPr>
          <w:rFonts w:ascii="Avenir Next LT Pro" w:hAnsi="Avenir Next LT Pro" w:cstheme="minorHAnsi"/>
          <w:i/>
          <w:iCs/>
          <w:sz w:val="20"/>
          <w:szCs w:val="20"/>
        </w:rPr>
      </w:pPr>
      <w:r w:rsidRPr="00500663">
        <w:rPr>
          <w:rFonts w:ascii="Avenir Next LT Pro" w:hAnsi="Avenir Next LT Pro" w:cstheme="minorHAnsi"/>
          <w:i/>
          <w:iCs/>
          <w:sz w:val="20"/>
          <w:szCs w:val="20"/>
        </w:rPr>
        <w:t>All pre-employment checks are in line with "Keeping Children Safe in Education" statutory guidance.</w:t>
      </w:r>
    </w:p>
    <w:p w14:paraId="101FF177" w14:textId="77777777" w:rsidR="003500A8" w:rsidRPr="0018080C" w:rsidRDefault="003500A8" w:rsidP="00CB3DCF">
      <w:pPr>
        <w:spacing w:line="276" w:lineRule="auto"/>
        <w:jc w:val="both"/>
        <w:rPr>
          <w:rFonts w:ascii="Avenir Next LT Pro" w:hAnsi="Avenir Next LT Pro" w:cstheme="minorHAnsi"/>
          <w:b/>
          <w:bCs/>
          <w:color w:val="205C40"/>
          <w:sz w:val="20"/>
          <w:szCs w:val="20"/>
        </w:rPr>
      </w:pPr>
    </w:p>
    <w:p w14:paraId="0C8EF365" w14:textId="1ED905D1" w:rsidR="0076576C" w:rsidRPr="00152D5A" w:rsidRDefault="0076576C" w:rsidP="003E7D87">
      <w:pPr>
        <w:spacing w:line="276" w:lineRule="auto"/>
        <w:rPr>
          <w:rFonts w:cstheme="minorHAnsi"/>
          <w:b/>
          <w:bCs/>
          <w:color w:val="205C40"/>
          <w:sz w:val="44"/>
          <w:szCs w:val="44"/>
        </w:rPr>
      </w:pPr>
    </w:p>
    <w:sectPr w:rsidR="0076576C" w:rsidRPr="00152D5A"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9420" w14:textId="77777777" w:rsidR="002B74D5" w:rsidRDefault="002B74D5" w:rsidP="001375E3">
      <w:pPr>
        <w:spacing w:after="0" w:line="240" w:lineRule="auto"/>
      </w:pPr>
      <w:r>
        <w:separator/>
      </w:r>
    </w:p>
  </w:endnote>
  <w:endnote w:type="continuationSeparator" w:id="0">
    <w:p w14:paraId="18B2DD7E" w14:textId="77777777" w:rsidR="002B74D5" w:rsidRDefault="002B74D5" w:rsidP="001375E3">
      <w:pPr>
        <w:spacing w:after="0" w:line="240" w:lineRule="auto"/>
      </w:pPr>
      <w:r>
        <w:continuationSeparator/>
      </w:r>
    </w:p>
  </w:endnote>
  <w:endnote w:type="continuationNotice" w:id="1">
    <w:p w14:paraId="7DB5A758" w14:textId="77777777" w:rsidR="002B74D5" w:rsidRDefault="002B7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0FA7" w14:textId="709C6A69"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CAB1" w14:textId="77777777" w:rsidR="002B74D5" w:rsidRDefault="002B74D5" w:rsidP="001375E3">
      <w:pPr>
        <w:spacing w:after="0" w:line="240" w:lineRule="auto"/>
      </w:pPr>
      <w:r>
        <w:separator/>
      </w:r>
    </w:p>
  </w:footnote>
  <w:footnote w:type="continuationSeparator" w:id="0">
    <w:p w14:paraId="37AB94D1" w14:textId="77777777" w:rsidR="002B74D5" w:rsidRDefault="002B74D5" w:rsidP="001375E3">
      <w:pPr>
        <w:spacing w:after="0" w:line="240" w:lineRule="auto"/>
      </w:pPr>
      <w:r>
        <w:continuationSeparator/>
      </w:r>
    </w:p>
  </w:footnote>
  <w:footnote w:type="continuationNotice" w:id="1">
    <w:p w14:paraId="5556D21A" w14:textId="77777777" w:rsidR="002B74D5" w:rsidRDefault="002B74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027C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1pt;height:380.4pt" o:bullet="t">
        <v:imagedata r:id="rId1" o:title="Picture1"/>
      </v:shape>
    </w:pict>
  </w:numPicBullet>
  <w:abstractNum w:abstractNumId="0" w15:restartNumberingAfterBreak="0">
    <w:nsid w:val="025C282E"/>
    <w:multiLevelType w:val="hybridMultilevel"/>
    <w:tmpl w:val="454250A4"/>
    <w:lvl w:ilvl="0" w:tplc="303248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64B6"/>
    <w:multiLevelType w:val="hybridMultilevel"/>
    <w:tmpl w:val="E5966190"/>
    <w:lvl w:ilvl="0" w:tplc="FFFFFFFF">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2F6444"/>
    <w:multiLevelType w:val="hybridMultilevel"/>
    <w:tmpl w:val="9438C760"/>
    <w:lvl w:ilvl="0" w:tplc="FFFFFFFF">
      <w:start w:val="1"/>
      <w:numFmt w:val="bullet"/>
      <w:lvlText w:val=""/>
      <w:lvlPicBulletId w:val="0"/>
      <w:lvlJc w:val="left"/>
      <w:pPr>
        <w:ind w:left="1080" w:hanging="72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7825CA"/>
    <w:multiLevelType w:val="hybridMultilevel"/>
    <w:tmpl w:val="FCF61FC6"/>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C6555"/>
    <w:multiLevelType w:val="hybridMultilevel"/>
    <w:tmpl w:val="91B69D9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E29D0"/>
    <w:multiLevelType w:val="hybridMultilevel"/>
    <w:tmpl w:val="9680403A"/>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543CB"/>
    <w:multiLevelType w:val="hybridMultilevel"/>
    <w:tmpl w:val="1BDAF9CE"/>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F0120"/>
    <w:multiLevelType w:val="hybridMultilevel"/>
    <w:tmpl w:val="A250554E"/>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1032A"/>
    <w:multiLevelType w:val="hybridMultilevel"/>
    <w:tmpl w:val="0936A17E"/>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E7806"/>
    <w:multiLevelType w:val="hybridMultilevel"/>
    <w:tmpl w:val="BD642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540107"/>
    <w:multiLevelType w:val="hybridMultilevel"/>
    <w:tmpl w:val="3D28A438"/>
    <w:lvl w:ilvl="0" w:tplc="D63E969A">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91A0E"/>
    <w:multiLevelType w:val="hybridMultilevel"/>
    <w:tmpl w:val="93F24526"/>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488"/>
    <w:multiLevelType w:val="hybridMultilevel"/>
    <w:tmpl w:val="11C89766"/>
    <w:lvl w:ilvl="0" w:tplc="9AB8FC02">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447BA"/>
    <w:multiLevelType w:val="hybridMultilevel"/>
    <w:tmpl w:val="01CC3B2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52F7D"/>
    <w:multiLevelType w:val="hybridMultilevel"/>
    <w:tmpl w:val="66901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D661E"/>
    <w:multiLevelType w:val="hybridMultilevel"/>
    <w:tmpl w:val="3DD6C088"/>
    <w:lvl w:ilvl="0" w:tplc="7FF8CEE2">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D310A"/>
    <w:multiLevelType w:val="hybridMultilevel"/>
    <w:tmpl w:val="1EEC9F1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9716A"/>
    <w:multiLevelType w:val="hybridMultilevel"/>
    <w:tmpl w:val="38FC62BC"/>
    <w:lvl w:ilvl="0" w:tplc="C53E56C4">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C36B6A"/>
    <w:multiLevelType w:val="hybridMultilevel"/>
    <w:tmpl w:val="7B282784"/>
    <w:lvl w:ilvl="0" w:tplc="C53E56C4">
      <w:start w:val="1"/>
      <w:numFmt w:val="bullet"/>
      <w:lvlText w:val=""/>
      <w:lvlPicBulletId w:val="0"/>
      <w:lvlJc w:val="left"/>
      <w:pPr>
        <w:ind w:left="720" w:hanging="360"/>
      </w:pPr>
      <w:rPr>
        <w:rFonts w:ascii="Symbol" w:hAnsi="Symbol" w:hint="default"/>
        <w:color w:val="auto"/>
      </w:rPr>
    </w:lvl>
    <w:lvl w:ilvl="1" w:tplc="FFFFFFFF">
      <w:start w:val="6"/>
      <w:numFmt w:val="bullet"/>
      <w:lvlText w:val="-"/>
      <w:lvlJc w:val="left"/>
      <w:pPr>
        <w:tabs>
          <w:tab w:val="num" w:pos="1304"/>
        </w:tabs>
        <w:ind w:left="1304" w:hanging="224"/>
      </w:pPr>
      <w:rPr>
        <w:rFonts w:ascii="Calibri" w:eastAsia="Wingdings" w:hAnsi="Calibri" w:cs="Wingdings" w:hint="default"/>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866CE4"/>
    <w:multiLevelType w:val="hybridMultilevel"/>
    <w:tmpl w:val="1AF44182"/>
    <w:lvl w:ilvl="0" w:tplc="4CF0EE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711CC"/>
    <w:multiLevelType w:val="hybridMultilevel"/>
    <w:tmpl w:val="CE38CA52"/>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A3584"/>
    <w:multiLevelType w:val="hybridMultilevel"/>
    <w:tmpl w:val="C50002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00835"/>
    <w:multiLevelType w:val="hybridMultilevel"/>
    <w:tmpl w:val="08BEBCD2"/>
    <w:lvl w:ilvl="0" w:tplc="C53E56C4">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B02C6"/>
    <w:multiLevelType w:val="hybridMultilevel"/>
    <w:tmpl w:val="402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10E1A"/>
    <w:multiLevelType w:val="hybridMultilevel"/>
    <w:tmpl w:val="5A16879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83394"/>
    <w:multiLevelType w:val="hybridMultilevel"/>
    <w:tmpl w:val="78DC26F6"/>
    <w:lvl w:ilvl="0" w:tplc="9AB8FC02">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E47F4"/>
    <w:multiLevelType w:val="hybridMultilevel"/>
    <w:tmpl w:val="391A1F6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82D80"/>
    <w:multiLevelType w:val="hybridMultilevel"/>
    <w:tmpl w:val="9AF88C04"/>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8530D4"/>
    <w:multiLevelType w:val="hybridMultilevel"/>
    <w:tmpl w:val="3FCCC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FB6DC7"/>
    <w:multiLevelType w:val="hybridMultilevel"/>
    <w:tmpl w:val="77C40B36"/>
    <w:lvl w:ilvl="0" w:tplc="9AB8FC02">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C853A3"/>
    <w:multiLevelType w:val="hybridMultilevel"/>
    <w:tmpl w:val="9FB0D1D8"/>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307A8"/>
    <w:multiLevelType w:val="hybridMultilevel"/>
    <w:tmpl w:val="F3DCEFA2"/>
    <w:lvl w:ilvl="0" w:tplc="C53E56C4">
      <w:start w:val="1"/>
      <w:numFmt w:val="bullet"/>
      <w:lvlText w:val=""/>
      <w:lvlPicBulletId w:val="0"/>
      <w:lvlJc w:val="left"/>
      <w:pPr>
        <w:ind w:left="1058" w:hanging="360"/>
      </w:pPr>
      <w:rPr>
        <w:rFonts w:ascii="Symbol" w:hAnsi="Symbol" w:hint="default"/>
        <w:color w:val="auto"/>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3" w15:restartNumberingAfterBreak="0">
    <w:nsid w:val="539C3F92"/>
    <w:multiLevelType w:val="hybridMultilevel"/>
    <w:tmpl w:val="A79E0CEE"/>
    <w:lvl w:ilvl="0" w:tplc="FFFFFFFF">
      <w:start w:val="1"/>
      <w:numFmt w:val="bullet"/>
      <w:lvlText w:val=""/>
      <w:lvlPicBulletId w:val="0"/>
      <w:lvlJc w:val="left"/>
      <w:pPr>
        <w:ind w:left="720" w:hanging="360"/>
      </w:pPr>
      <w:rPr>
        <w:rFonts w:ascii="Symbol" w:hAnsi="Symbol" w:hint="default"/>
        <w:color w:val="auto"/>
      </w:rPr>
    </w:lvl>
    <w:lvl w:ilvl="1" w:tplc="C53E56C4">
      <w:start w:val="1"/>
      <w:numFmt w:val="bullet"/>
      <w:lvlText w:val=""/>
      <w:lvlPicBulletId w:val="0"/>
      <w:lvlJc w:val="left"/>
      <w:pPr>
        <w:ind w:left="108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C85312A"/>
    <w:multiLevelType w:val="hybridMultilevel"/>
    <w:tmpl w:val="0726AF6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B0314"/>
    <w:multiLevelType w:val="hybridMultilevel"/>
    <w:tmpl w:val="A0789FA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AE00CB"/>
    <w:multiLevelType w:val="hybridMultilevel"/>
    <w:tmpl w:val="911A200A"/>
    <w:lvl w:ilvl="0" w:tplc="C53E56C4">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6FA31BEF"/>
    <w:multiLevelType w:val="hybridMultilevel"/>
    <w:tmpl w:val="B0A08CD0"/>
    <w:lvl w:ilvl="0" w:tplc="C53E56C4">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62688635">
    <w:abstractNumId w:val="34"/>
  </w:num>
  <w:num w:numId="2" w16cid:durableId="1691563129">
    <w:abstractNumId w:val="32"/>
  </w:num>
  <w:num w:numId="3" w16cid:durableId="1753970839">
    <w:abstractNumId w:val="36"/>
  </w:num>
  <w:num w:numId="4" w16cid:durableId="1944145222">
    <w:abstractNumId w:val="21"/>
  </w:num>
  <w:num w:numId="5" w16cid:durableId="1205214020">
    <w:abstractNumId w:val="29"/>
  </w:num>
  <w:num w:numId="6" w16cid:durableId="1888756025">
    <w:abstractNumId w:val="14"/>
  </w:num>
  <w:num w:numId="7" w16cid:durableId="311759838">
    <w:abstractNumId w:val="33"/>
  </w:num>
  <w:num w:numId="8" w16cid:durableId="885484121">
    <w:abstractNumId w:val="5"/>
  </w:num>
  <w:num w:numId="9" w16cid:durableId="533074869">
    <w:abstractNumId w:val="18"/>
  </w:num>
  <w:num w:numId="10" w16cid:durableId="1492721454">
    <w:abstractNumId w:val="35"/>
  </w:num>
  <w:num w:numId="11" w16cid:durableId="1208302767">
    <w:abstractNumId w:val="24"/>
  </w:num>
  <w:num w:numId="12" w16cid:durableId="2138794352">
    <w:abstractNumId w:val="13"/>
  </w:num>
  <w:num w:numId="13" w16cid:durableId="751199946">
    <w:abstractNumId w:val="16"/>
  </w:num>
  <w:num w:numId="14" w16cid:durableId="431241946">
    <w:abstractNumId w:val="22"/>
  </w:num>
  <w:num w:numId="15" w16cid:durableId="166408733">
    <w:abstractNumId w:val="27"/>
  </w:num>
  <w:num w:numId="16" w16cid:durableId="420369900">
    <w:abstractNumId w:val="4"/>
  </w:num>
  <w:num w:numId="17" w16cid:durableId="864171629">
    <w:abstractNumId w:val="11"/>
  </w:num>
  <w:num w:numId="18" w16cid:durableId="794906462">
    <w:abstractNumId w:val="8"/>
  </w:num>
  <w:num w:numId="19" w16cid:durableId="691298233">
    <w:abstractNumId w:val="1"/>
  </w:num>
  <w:num w:numId="20" w16cid:durableId="753746552">
    <w:abstractNumId w:val="28"/>
  </w:num>
  <w:num w:numId="21" w16cid:durableId="48963542">
    <w:abstractNumId w:val="3"/>
  </w:num>
  <w:num w:numId="22" w16cid:durableId="335689985">
    <w:abstractNumId w:val="19"/>
  </w:num>
  <w:num w:numId="23" w16cid:durableId="2093238794">
    <w:abstractNumId w:val="20"/>
  </w:num>
  <w:num w:numId="24" w16cid:durableId="205724867">
    <w:abstractNumId w:val="0"/>
  </w:num>
  <w:num w:numId="25" w16cid:durableId="114296952">
    <w:abstractNumId w:val="6"/>
  </w:num>
  <w:num w:numId="26" w16cid:durableId="1540821448">
    <w:abstractNumId w:val="10"/>
  </w:num>
  <w:num w:numId="27" w16cid:durableId="2081561722">
    <w:abstractNumId w:val="7"/>
  </w:num>
  <w:num w:numId="28" w16cid:durableId="643048828">
    <w:abstractNumId w:val="15"/>
  </w:num>
  <w:num w:numId="29" w16cid:durableId="1163467665">
    <w:abstractNumId w:val="31"/>
  </w:num>
  <w:num w:numId="30" w16cid:durableId="1835141135">
    <w:abstractNumId w:val="25"/>
  </w:num>
  <w:num w:numId="31" w16cid:durableId="685862006">
    <w:abstractNumId w:val="30"/>
  </w:num>
  <w:num w:numId="32" w16cid:durableId="315649691">
    <w:abstractNumId w:val="12"/>
  </w:num>
  <w:num w:numId="33" w16cid:durableId="1210805560">
    <w:abstractNumId w:val="2"/>
  </w:num>
  <w:num w:numId="34" w16cid:durableId="899290094">
    <w:abstractNumId w:val="23"/>
  </w:num>
  <w:num w:numId="35" w16cid:durableId="1462385249">
    <w:abstractNumId w:val="38"/>
  </w:num>
  <w:num w:numId="36" w16cid:durableId="538708543">
    <w:abstractNumId w:val="9"/>
  </w:num>
  <w:num w:numId="37" w16cid:durableId="694892489">
    <w:abstractNumId w:val="37"/>
  </w:num>
  <w:num w:numId="38" w16cid:durableId="1240628841">
    <w:abstractNumId w:val="26"/>
  </w:num>
  <w:num w:numId="39" w16cid:durableId="118929805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177E6"/>
    <w:rsid w:val="00030A0C"/>
    <w:rsid w:val="0004059E"/>
    <w:rsid w:val="00052A2C"/>
    <w:rsid w:val="000628C5"/>
    <w:rsid w:val="00073C05"/>
    <w:rsid w:val="000756B1"/>
    <w:rsid w:val="0007650A"/>
    <w:rsid w:val="00083AB6"/>
    <w:rsid w:val="00094C5F"/>
    <w:rsid w:val="00097E33"/>
    <w:rsid w:val="000A6533"/>
    <w:rsid w:val="000C1111"/>
    <w:rsid w:val="000C41EA"/>
    <w:rsid w:val="000F3A18"/>
    <w:rsid w:val="000F4E76"/>
    <w:rsid w:val="00127B1E"/>
    <w:rsid w:val="001375E3"/>
    <w:rsid w:val="00152D5A"/>
    <w:rsid w:val="00172821"/>
    <w:rsid w:val="001A7462"/>
    <w:rsid w:val="001A7706"/>
    <w:rsid w:val="001B7704"/>
    <w:rsid w:val="001D0EC5"/>
    <w:rsid w:val="001E52F0"/>
    <w:rsid w:val="001F15ED"/>
    <w:rsid w:val="001F35B5"/>
    <w:rsid w:val="001F6D2D"/>
    <w:rsid w:val="00207BF9"/>
    <w:rsid w:val="00222345"/>
    <w:rsid w:val="00226D33"/>
    <w:rsid w:val="00233EF0"/>
    <w:rsid w:val="00237489"/>
    <w:rsid w:val="002507AA"/>
    <w:rsid w:val="002529A5"/>
    <w:rsid w:val="00253CE3"/>
    <w:rsid w:val="00262D0D"/>
    <w:rsid w:val="0026484F"/>
    <w:rsid w:val="00265F67"/>
    <w:rsid w:val="00272F0C"/>
    <w:rsid w:val="0028484C"/>
    <w:rsid w:val="002B5BDE"/>
    <w:rsid w:val="002B5EA0"/>
    <w:rsid w:val="002B74D5"/>
    <w:rsid w:val="002C5A0D"/>
    <w:rsid w:val="002C5BD3"/>
    <w:rsid w:val="002C7F12"/>
    <w:rsid w:val="002E06A3"/>
    <w:rsid w:val="00307678"/>
    <w:rsid w:val="00343D7F"/>
    <w:rsid w:val="003500A8"/>
    <w:rsid w:val="00352ECF"/>
    <w:rsid w:val="00367909"/>
    <w:rsid w:val="00383247"/>
    <w:rsid w:val="003A7B20"/>
    <w:rsid w:val="003B2A7E"/>
    <w:rsid w:val="003B4196"/>
    <w:rsid w:val="003D4975"/>
    <w:rsid w:val="003E7D87"/>
    <w:rsid w:val="003F7500"/>
    <w:rsid w:val="004011A3"/>
    <w:rsid w:val="004131A2"/>
    <w:rsid w:val="0041570E"/>
    <w:rsid w:val="0043734D"/>
    <w:rsid w:val="00440F78"/>
    <w:rsid w:val="0046173E"/>
    <w:rsid w:val="00462DAE"/>
    <w:rsid w:val="00464BA8"/>
    <w:rsid w:val="00480B37"/>
    <w:rsid w:val="00481D6E"/>
    <w:rsid w:val="00492149"/>
    <w:rsid w:val="00492AE2"/>
    <w:rsid w:val="004B55CE"/>
    <w:rsid w:val="004D0AE4"/>
    <w:rsid w:val="004E510C"/>
    <w:rsid w:val="004E602A"/>
    <w:rsid w:val="00515A60"/>
    <w:rsid w:val="00533B73"/>
    <w:rsid w:val="005431C3"/>
    <w:rsid w:val="005443A7"/>
    <w:rsid w:val="00546481"/>
    <w:rsid w:val="005468B7"/>
    <w:rsid w:val="0058793B"/>
    <w:rsid w:val="005879F3"/>
    <w:rsid w:val="00592BCE"/>
    <w:rsid w:val="005A5C5A"/>
    <w:rsid w:val="005B107B"/>
    <w:rsid w:val="005D36C0"/>
    <w:rsid w:val="005E2CDA"/>
    <w:rsid w:val="005E5289"/>
    <w:rsid w:val="00635BE4"/>
    <w:rsid w:val="00636367"/>
    <w:rsid w:val="006633CE"/>
    <w:rsid w:val="00671B23"/>
    <w:rsid w:val="006772D8"/>
    <w:rsid w:val="006A45D6"/>
    <w:rsid w:val="006B7900"/>
    <w:rsid w:val="006C036B"/>
    <w:rsid w:val="006D3837"/>
    <w:rsid w:val="006E1187"/>
    <w:rsid w:val="00704552"/>
    <w:rsid w:val="00706C35"/>
    <w:rsid w:val="00712EAC"/>
    <w:rsid w:val="0071754A"/>
    <w:rsid w:val="00720D37"/>
    <w:rsid w:val="007347F8"/>
    <w:rsid w:val="00741581"/>
    <w:rsid w:val="00746036"/>
    <w:rsid w:val="007564E1"/>
    <w:rsid w:val="00757EAA"/>
    <w:rsid w:val="0076335C"/>
    <w:rsid w:val="0076576C"/>
    <w:rsid w:val="00770598"/>
    <w:rsid w:val="0079601E"/>
    <w:rsid w:val="0079613D"/>
    <w:rsid w:val="0079644E"/>
    <w:rsid w:val="007A2160"/>
    <w:rsid w:val="007C69F5"/>
    <w:rsid w:val="007D05CD"/>
    <w:rsid w:val="007F7A58"/>
    <w:rsid w:val="00800ED1"/>
    <w:rsid w:val="00813052"/>
    <w:rsid w:val="00823EB6"/>
    <w:rsid w:val="00825A6C"/>
    <w:rsid w:val="0082745F"/>
    <w:rsid w:val="008350C7"/>
    <w:rsid w:val="00836515"/>
    <w:rsid w:val="00842144"/>
    <w:rsid w:val="00855589"/>
    <w:rsid w:val="00856526"/>
    <w:rsid w:val="00867D2A"/>
    <w:rsid w:val="008934E3"/>
    <w:rsid w:val="00893854"/>
    <w:rsid w:val="008B4387"/>
    <w:rsid w:val="008D079B"/>
    <w:rsid w:val="008D1FCF"/>
    <w:rsid w:val="008D5350"/>
    <w:rsid w:val="008F1CA2"/>
    <w:rsid w:val="009121BE"/>
    <w:rsid w:val="00916586"/>
    <w:rsid w:val="009176C3"/>
    <w:rsid w:val="0093031E"/>
    <w:rsid w:val="00954638"/>
    <w:rsid w:val="00994EDA"/>
    <w:rsid w:val="00995555"/>
    <w:rsid w:val="009A1D4C"/>
    <w:rsid w:val="009A4AC8"/>
    <w:rsid w:val="009D74CC"/>
    <w:rsid w:val="009F5084"/>
    <w:rsid w:val="009F5A95"/>
    <w:rsid w:val="00A06A3E"/>
    <w:rsid w:val="00A127B0"/>
    <w:rsid w:val="00A17E6C"/>
    <w:rsid w:val="00A36D48"/>
    <w:rsid w:val="00A6285A"/>
    <w:rsid w:val="00A744FA"/>
    <w:rsid w:val="00A91FE8"/>
    <w:rsid w:val="00A93EC1"/>
    <w:rsid w:val="00A94F4F"/>
    <w:rsid w:val="00AA08E2"/>
    <w:rsid w:val="00AB16C0"/>
    <w:rsid w:val="00AC08E7"/>
    <w:rsid w:val="00AC09D6"/>
    <w:rsid w:val="00AD2F32"/>
    <w:rsid w:val="00AF14D7"/>
    <w:rsid w:val="00B112B8"/>
    <w:rsid w:val="00B23893"/>
    <w:rsid w:val="00B4499A"/>
    <w:rsid w:val="00B46725"/>
    <w:rsid w:val="00B47399"/>
    <w:rsid w:val="00B503C6"/>
    <w:rsid w:val="00B53393"/>
    <w:rsid w:val="00B61AD6"/>
    <w:rsid w:val="00B91CBE"/>
    <w:rsid w:val="00BA1E1B"/>
    <w:rsid w:val="00BA497D"/>
    <w:rsid w:val="00BB7BD0"/>
    <w:rsid w:val="00BD191A"/>
    <w:rsid w:val="00BD23DE"/>
    <w:rsid w:val="00BE6A5B"/>
    <w:rsid w:val="00BF5F99"/>
    <w:rsid w:val="00C05021"/>
    <w:rsid w:val="00C07D6A"/>
    <w:rsid w:val="00C33606"/>
    <w:rsid w:val="00C46324"/>
    <w:rsid w:val="00C76A8E"/>
    <w:rsid w:val="00CB3DCF"/>
    <w:rsid w:val="00CC0AF6"/>
    <w:rsid w:val="00CC4762"/>
    <w:rsid w:val="00CE09A1"/>
    <w:rsid w:val="00D01B73"/>
    <w:rsid w:val="00D41EAE"/>
    <w:rsid w:val="00D44F87"/>
    <w:rsid w:val="00D459C0"/>
    <w:rsid w:val="00D4791E"/>
    <w:rsid w:val="00D56317"/>
    <w:rsid w:val="00D66B39"/>
    <w:rsid w:val="00DA1CBB"/>
    <w:rsid w:val="00DB6CC1"/>
    <w:rsid w:val="00DD7DC8"/>
    <w:rsid w:val="00DF49F5"/>
    <w:rsid w:val="00DF739C"/>
    <w:rsid w:val="00E154BE"/>
    <w:rsid w:val="00E161F2"/>
    <w:rsid w:val="00E5545D"/>
    <w:rsid w:val="00E65069"/>
    <w:rsid w:val="00E70162"/>
    <w:rsid w:val="00E87C65"/>
    <w:rsid w:val="00E96078"/>
    <w:rsid w:val="00EA1903"/>
    <w:rsid w:val="00EB0E00"/>
    <w:rsid w:val="00EB3597"/>
    <w:rsid w:val="00ED040D"/>
    <w:rsid w:val="00ED0C64"/>
    <w:rsid w:val="00ED2225"/>
    <w:rsid w:val="00EE2AF6"/>
    <w:rsid w:val="00EE36C2"/>
    <w:rsid w:val="00EF3746"/>
    <w:rsid w:val="00F7100C"/>
    <w:rsid w:val="00F947CA"/>
    <w:rsid w:val="00FF1207"/>
    <w:rsid w:val="00FF48D0"/>
    <w:rsid w:val="00FF49CA"/>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9764E80"/>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styleId="BodyTextIndent">
    <w:name w:val="Body Text Indent"/>
    <w:basedOn w:val="Normal"/>
    <w:link w:val="BodyTextIndentChar"/>
    <w:rsid w:val="00720D37"/>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20D37"/>
    <w:rPr>
      <w:rFonts w:ascii="Times New Roman" w:eastAsia="Times New Roman" w:hAnsi="Times New Roman" w:cs="Times New Roman"/>
      <w:sz w:val="24"/>
      <w:szCs w:val="24"/>
    </w:rPr>
  </w:style>
  <w:style w:type="paragraph" w:styleId="NoSpacing">
    <w:name w:val="No Spacing"/>
    <w:uiPriority w:val="1"/>
    <w:qFormat/>
    <w:rsid w:val="002C5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Props1.xml><?xml version="1.0" encoding="utf-8"?>
<ds:datastoreItem xmlns:ds="http://schemas.openxmlformats.org/officeDocument/2006/customXml" ds:itemID="{21E75E2C-B8ED-4E54-BA18-2C8AF82FA501}">
  <ds:schemaRefs>
    <ds:schemaRef ds:uri="http://schemas.microsoft.com/sharepoint/v3/contenttype/forms"/>
  </ds:schemaRefs>
</ds:datastoreItem>
</file>

<file path=customXml/itemProps2.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3.xml><?xml version="1.0" encoding="utf-8"?>
<ds:datastoreItem xmlns:ds="http://schemas.openxmlformats.org/officeDocument/2006/customXml" ds:itemID="{4982EF46-6ABE-419F-A82B-0D93E9CB4C92}"/>
</file>

<file path=customXml/itemProps4.xml><?xml version="1.0" encoding="utf-8"?>
<ds:datastoreItem xmlns:ds="http://schemas.openxmlformats.org/officeDocument/2006/customXml" ds:itemID="{3EEB946B-0D6B-4E60-8A7C-BD3CC5F0174E}">
  <ds:schemaRefs>
    <ds:schemaRef ds:uri="http://schemas.microsoft.com/office/2006/metadata/properties"/>
    <ds:schemaRef ds:uri="http://schemas.microsoft.com/office/infopath/2007/PartnerControls"/>
    <ds:schemaRef ds:uri="0d685442-6cab-4f36-a57d-58191421f3ba"/>
    <ds:schemaRef ds:uri="cb511fcd-cf02-4aac-b91d-ceb3ef9915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Vicky Laursen</cp:lastModifiedBy>
  <cp:revision>2</cp:revision>
  <dcterms:created xsi:type="dcterms:W3CDTF">2024-06-11T09:41:00Z</dcterms:created>
  <dcterms:modified xsi:type="dcterms:W3CDTF">2024-06-11T09:41:00Z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0x010100D9F5693FFFCAB94DAA1CF199DEC05985</vt:lpwstr>
  </property>
  <property fmtid="{D5CDD505-2E9C-101B-9397-08002B2CF9AE}" pid="3" name="Order">
    <vt:r8>8900</vt:r8>
  </property>
  <property fmtid="{D5CDD505-2E9C-101B-9397-08002B2CF9AE}" pid="4" name="MediaServiceImageTags">
    <vt:lpwstr/>
  </property>
</Properties>
</file>