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6DDF3176" w:rsidR="006D2B4C" w:rsidRPr="00726B14" w:rsidRDefault="00CF1425" w:rsidP="0062131C">
            <w:pPr>
              <w:rPr>
                <w:rFonts w:ascii="Arial" w:hAnsi="Arial" w:cs="Arial"/>
                <w:sz w:val="22"/>
                <w:szCs w:val="22"/>
              </w:rPr>
            </w:pPr>
            <w:r>
              <w:rPr>
                <w:rFonts w:ascii="Arial" w:hAnsi="Arial" w:cs="Arial"/>
                <w:sz w:val="22"/>
                <w:szCs w:val="22"/>
              </w:rPr>
              <w:t xml:space="preserve">Teacher of </w:t>
            </w:r>
            <w:r w:rsidR="00270DFF">
              <w:rPr>
                <w:rFonts w:ascii="Arial" w:hAnsi="Arial" w:cs="Arial"/>
                <w:sz w:val="22"/>
                <w:szCs w:val="22"/>
              </w:rPr>
              <w:t>Food Technology</w:t>
            </w:r>
          </w:p>
        </w:tc>
      </w:tr>
      <w:tr w:rsidR="006D2B4C" w:rsidRPr="00726B14" w14:paraId="2AB71DFA" w14:textId="77777777" w:rsidTr="005C6C4E">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1C8C3BBA" w:rsidR="006D2B4C" w:rsidRPr="00726B14" w:rsidRDefault="00CF1425" w:rsidP="0062131C">
            <w:pPr>
              <w:rPr>
                <w:rFonts w:ascii="Arial" w:hAnsi="Arial" w:cs="Arial"/>
                <w:sz w:val="22"/>
                <w:szCs w:val="22"/>
              </w:rPr>
            </w:pPr>
            <w:r>
              <w:rPr>
                <w:rFonts w:ascii="Arial" w:hAnsi="Arial" w:cs="Arial"/>
                <w:sz w:val="22"/>
                <w:szCs w:val="22"/>
              </w:rPr>
              <w:t>Curriculum Leader</w:t>
            </w:r>
            <w:r w:rsidR="00270DFF">
              <w:rPr>
                <w:rFonts w:ascii="Arial" w:hAnsi="Arial" w:cs="Arial"/>
                <w:sz w:val="22"/>
                <w:szCs w:val="22"/>
              </w:rPr>
              <w:t xml:space="preserve"> </w:t>
            </w:r>
            <w:r>
              <w:rPr>
                <w:rFonts w:ascii="Arial" w:hAnsi="Arial" w:cs="Arial"/>
                <w:sz w:val="22"/>
                <w:szCs w:val="22"/>
              </w:rPr>
              <w:t>/</w:t>
            </w:r>
            <w:r w:rsidR="00270DFF">
              <w:rPr>
                <w:rFonts w:ascii="Arial" w:hAnsi="Arial" w:cs="Arial"/>
                <w:sz w:val="22"/>
                <w:szCs w:val="22"/>
              </w:rPr>
              <w:t xml:space="preserve"> </w:t>
            </w:r>
            <w:r>
              <w:rPr>
                <w:rFonts w:ascii="Arial" w:hAnsi="Arial" w:cs="Arial"/>
                <w:sz w:val="22"/>
                <w:szCs w:val="22"/>
              </w:rPr>
              <w:t>SLT</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0D9D1C68" w:rsidR="006D2B4C" w:rsidRPr="00726B14" w:rsidRDefault="00CF1425" w:rsidP="0062131C">
            <w:pPr>
              <w:rPr>
                <w:rFonts w:ascii="Arial" w:hAnsi="Arial" w:cs="Arial"/>
                <w:sz w:val="22"/>
                <w:szCs w:val="22"/>
              </w:rPr>
            </w:pPr>
            <w:r>
              <w:rPr>
                <w:rFonts w:ascii="Arial" w:hAnsi="Arial" w:cs="Arial"/>
                <w:sz w:val="22"/>
                <w:szCs w:val="22"/>
              </w:rPr>
              <w:t>The Stephen Longfellow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3CC7D372" w14:textId="011006CB" w:rsidR="00EE2497" w:rsidRDefault="00266AB6" w:rsidP="00EE46C9">
      <w:pPr>
        <w:pStyle w:val="NoSpacing"/>
        <w:jc w:val="both"/>
        <w:rPr>
          <w:rFonts w:ascii="Arial" w:hAnsi="Arial" w:cs="Arial"/>
          <w:sz w:val="24"/>
          <w:szCs w:val="24"/>
        </w:rPr>
      </w:pPr>
      <w:r w:rsidRPr="00266AB6">
        <w:rPr>
          <w:rFonts w:ascii="Arial" w:hAnsi="Arial" w:cs="Arial"/>
          <w:i/>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2540609">
    <w:abstractNumId w:val="4"/>
  </w:num>
  <w:num w:numId="2" w16cid:durableId="287778383">
    <w:abstractNumId w:val="12"/>
  </w:num>
  <w:num w:numId="3" w16cid:durableId="435370072">
    <w:abstractNumId w:val="6"/>
  </w:num>
  <w:num w:numId="4" w16cid:durableId="851261695">
    <w:abstractNumId w:val="9"/>
  </w:num>
  <w:num w:numId="5" w16cid:durableId="1708605370">
    <w:abstractNumId w:val="8"/>
  </w:num>
  <w:num w:numId="6" w16cid:durableId="2080323510">
    <w:abstractNumId w:val="11"/>
  </w:num>
  <w:num w:numId="7" w16cid:durableId="74280743">
    <w:abstractNumId w:val="2"/>
  </w:num>
  <w:num w:numId="8" w16cid:durableId="1062385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9045">
    <w:abstractNumId w:val="1"/>
  </w:num>
  <w:num w:numId="10" w16cid:durableId="1386098437">
    <w:abstractNumId w:val="13"/>
  </w:num>
  <w:num w:numId="11" w16cid:durableId="452097339">
    <w:abstractNumId w:val="10"/>
  </w:num>
  <w:num w:numId="12" w16cid:durableId="2039314557">
    <w:abstractNumId w:val="15"/>
  </w:num>
  <w:num w:numId="13" w16cid:durableId="1026634038">
    <w:abstractNumId w:val="5"/>
  </w:num>
  <w:num w:numId="14" w16cid:durableId="614480952">
    <w:abstractNumId w:val="3"/>
  </w:num>
  <w:num w:numId="15" w16cid:durableId="1594818812">
    <w:abstractNumId w:val="0"/>
  </w:num>
  <w:num w:numId="16" w16cid:durableId="30613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66AB6"/>
    <w:rsid w:val="00270DFF"/>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CF1425"/>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2022-03-07T15:52:00Z</dcterms:created>
  <dcterms:modified xsi:type="dcterms:W3CDTF">2022-05-10T12:22:00Z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