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389FA2B9" w14:textId="4B59CBCE" w:rsidR="006141BA" w:rsidRPr="00D03463" w:rsidRDefault="00820E31" w:rsidP="00F571FC">
      <w:pPr>
        <w:jc w:val="center"/>
        <w:rPr>
          <w:b/>
          <w:bCs/>
          <w:color w:val="000000" w:themeColor="text1"/>
        </w:rPr>
      </w:pPr>
      <w:r w:rsidRPr="00D03463">
        <w:rPr>
          <w:b/>
          <w:bCs/>
          <w:color w:val="000000" w:themeColor="text1"/>
        </w:rPr>
        <w:t>TEACHER OF FOOD</w:t>
      </w:r>
      <w:r w:rsidR="00074CC1">
        <w:rPr>
          <w:b/>
          <w:bCs/>
          <w:color w:val="000000" w:themeColor="text1"/>
        </w:rPr>
        <w:t xml:space="preserve"> TECHNOLOGY</w:t>
      </w:r>
    </w:p>
    <w:p w14:paraId="3E0363C0" w14:textId="77777777" w:rsidR="00F571FC" w:rsidRPr="00F571FC" w:rsidRDefault="00F571FC" w:rsidP="00F571FC">
      <w:pPr>
        <w:pStyle w:val="NoSpacing"/>
      </w:pPr>
    </w:p>
    <w:p w14:paraId="55A0C662" w14:textId="7CD43CF9" w:rsidR="006141BA" w:rsidRDefault="006141BA" w:rsidP="006141BA">
      <w:pPr>
        <w:pStyle w:val="NoSpacing"/>
        <w:rPr>
          <w:b/>
          <w:bCs/>
        </w:rPr>
      </w:pPr>
      <w:r w:rsidRPr="006141BA">
        <w:rPr>
          <w:b/>
          <w:bCs/>
        </w:rPr>
        <w:t xml:space="preserve">Salary: </w:t>
      </w:r>
      <w:r w:rsidRPr="006141BA">
        <w:rPr>
          <w:b/>
          <w:bCs/>
        </w:rPr>
        <w:tab/>
      </w:r>
      <w:r w:rsidRPr="006141BA">
        <w:rPr>
          <w:b/>
          <w:bCs/>
        </w:rPr>
        <w:tab/>
      </w:r>
      <w:r w:rsidRPr="006141BA">
        <w:rPr>
          <w:b/>
          <w:bCs/>
        </w:rPr>
        <w:tab/>
      </w:r>
      <w:r w:rsidR="007901D9" w:rsidRPr="00D03463">
        <w:rPr>
          <w:b/>
          <w:bCs/>
          <w:color w:val="000000" w:themeColor="text1"/>
        </w:rPr>
        <w:t>M1 – U3 £28,000 - £43,685 FTE salary per annum</w:t>
      </w:r>
      <w:r w:rsidR="00F67223" w:rsidRPr="00D03463">
        <w:rPr>
          <w:b/>
          <w:bCs/>
          <w:color w:val="000000" w:themeColor="text1"/>
        </w:rPr>
        <w:t xml:space="preserve"> </w:t>
      </w:r>
    </w:p>
    <w:p w14:paraId="7F332C92" w14:textId="23A2A839" w:rsidR="006141BA" w:rsidRPr="00DA5100" w:rsidRDefault="006141BA" w:rsidP="006141BA">
      <w:pPr>
        <w:pStyle w:val="NoSpacing"/>
        <w:rPr>
          <w:b/>
          <w:bCs/>
          <w:color w:val="FF0000"/>
        </w:rPr>
      </w:pPr>
      <w:r w:rsidRPr="006141BA">
        <w:rPr>
          <w:b/>
          <w:bCs/>
        </w:rPr>
        <w:t>Actual Salary:</w:t>
      </w:r>
      <w:r w:rsidRPr="006141BA">
        <w:rPr>
          <w:b/>
          <w:bCs/>
        </w:rPr>
        <w:tab/>
      </w:r>
      <w:r w:rsidRPr="006141BA">
        <w:rPr>
          <w:b/>
          <w:bCs/>
        </w:rPr>
        <w:tab/>
      </w:r>
      <w:r w:rsidRPr="006141BA">
        <w:rPr>
          <w:b/>
          <w:bCs/>
          <w:color w:val="FF0000"/>
        </w:rPr>
        <w:t xml:space="preserve"> </w:t>
      </w:r>
      <w:r w:rsidR="00957261" w:rsidRPr="00AA2297">
        <w:rPr>
          <w:b/>
          <w:bCs/>
        </w:rPr>
        <w:t>£4,</w:t>
      </w:r>
      <w:r w:rsidR="00163FF4" w:rsidRPr="00AA2297">
        <w:rPr>
          <w:b/>
          <w:bCs/>
        </w:rPr>
        <w:t xml:space="preserve">294 - </w:t>
      </w:r>
      <w:r w:rsidR="008F4B7E" w:rsidRPr="00AA2297">
        <w:rPr>
          <w:b/>
          <w:bCs/>
        </w:rPr>
        <w:t>£6700 per annum</w:t>
      </w:r>
    </w:p>
    <w:p w14:paraId="11691C04" w14:textId="6CBACED4" w:rsidR="006141BA" w:rsidRPr="000857A2" w:rsidRDefault="006141BA" w:rsidP="006141BA">
      <w:pPr>
        <w:pStyle w:val="NoSpacing"/>
        <w:rPr>
          <w:b/>
          <w:bCs/>
          <w:color w:val="000000" w:themeColor="text1"/>
        </w:rPr>
      </w:pPr>
      <w:r w:rsidRPr="006141BA">
        <w:rPr>
          <w:b/>
          <w:bCs/>
        </w:rPr>
        <w:t xml:space="preserve">Working hours: </w:t>
      </w:r>
      <w:r w:rsidRPr="006141BA">
        <w:rPr>
          <w:b/>
          <w:bCs/>
        </w:rPr>
        <w:tab/>
      </w:r>
      <w:r w:rsidR="00820E31" w:rsidRPr="000857A2">
        <w:rPr>
          <w:b/>
          <w:bCs/>
          <w:color w:val="000000" w:themeColor="text1"/>
        </w:rPr>
        <w:t xml:space="preserve">5 hours </w:t>
      </w:r>
      <w:r w:rsidR="000857A2" w:rsidRPr="000857A2">
        <w:rPr>
          <w:b/>
          <w:bCs/>
          <w:color w:val="000000" w:themeColor="text1"/>
        </w:rPr>
        <w:t>per week</w:t>
      </w:r>
    </w:p>
    <w:p w14:paraId="746F5EBB" w14:textId="3FA582D8" w:rsidR="006141BA" w:rsidRPr="000857A2" w:rsidRDefault="006141BA" w:rsidP="006141BA">
      <w:pPr>
        <w:pStyle w:val="NoSpacing"/>
        <w:rPr>
          <w:b/>
          <w:bCs/>
          <w:color w:val="000000" w:themeColor="text1"/>
        </w:rPr>
      </w:pPr>
      <w:r w:rsidRPr="000857A2">
        <w:rPr>
          <w:b/>
          <w:bCs/>
          <w:color w:val="000000" w:themeColor="text1"/>
        </w:rPr>
        <w:t xml:space="preserve">Contract type: </w:t>
      </w:r>
      <w:r w:rsidRPr="000857A2">
        <w:rPr>
          <w:b/>
          <w:bCs/>
          <w:color w:val="000000" w:themeColor="text1"/>
        </w:rPr>
        <w:tab/>
      </w:r>
      <w:r w:rsidRPr="000857A2">
        <w:rPr>
          <w:b/>
          <w:bCs/>
          <w:color w:val="000000" w:themeColor="text1"/>
        </w:rPr>
        <w:tab/>
        <w:t>Casual</w:t>
      </w:r>
    </w:p>
    <w:p w14:paraId="3E0F078D" w14:textId="7F0375D6" w:rsidR="006141BA" w:rsidRPr="000857A2" w:rsidRDefault="006141BA" w:rsidP="006141BA">
      <w:pPr>
        <w:pStyle w:val="NoSpacing"/>
        <w:rPr>
          <w:b/>
          <w:bCs/>
          <w:color w:val="000000" w:themeColor="text1"/>
        </w:rPr>
      </w:pPr>
      <w:r w:rsidRPr="000857A2">
        <w:rPr>
          <w:b/>
          <w:bCs/>
          <w:color w:val="000000" w:themeColor="text1"/>
        </w:rPr>
        <w:t xml:space="preserve">Start date: </w:t>
      </w:r>
      <w:r w:rsidRPr="000857A2">
        <w:rPr>
          <w:b/>
          <w:bCs/>
          <w:color w:val="000000" w:themeColor="text1"/>
        </w:rPr>
        <w:tab/>
      </w:r>
      <w:r w:rsidRPr="000857A2">
        <w:rPr>
          <w:b/>
          <w:bCs/>
          <w:color w:val="000000" w:themeColor="text1"/>
        </w:rPr>
        <w:tab/>
      </w:r>
      <w:r w:rsidR="00AB2A13" w:rsidRPr="000857A2">
        <w:rPr>
          <w:b/>
          <w:bCs/>
          <w:color w:val="000000" w:themeColor="text1"/>
        </w:rPr>
        <w:t>ASAP</w:t>
      </w:r>
    </w:p>
    <w:p w14:paraId="64E704E1" w14:textId="71669A52" w:rsidR="006141BA" w:rsidRDefault="006141BA"/>
    <w:p w14:paraId="510D90A2" w14:textId="77777777" w:rsidR="00A56394" w:rsidRPr="00714E0A" w:rsidRDefault="005E5109" w:rsidP="005E5109">
      <w:pPr>
        <w:rPr>
          <w:rFonts w:ascii="Calibri" w:hAnsi="Calibri" w:cs="Calibri"/>
          <w:color w:val="000000" w:themeColor="text1"/>
        </w:rPr>
      </w:pPr>
      <w:r w:rsidRPr="00714E0A">
        <w:rPr>
          <w:rFonts w:ascii="Calibri" w:hAnsi="Calibri" w:cs="Calibri"/>
          <w:color w:val="000000" w:themeColor="text1"/>
        </w:rPr>
        <w:t xml:space="preserve">We seek an exceptional candidate who is passionate about the subject and is an excellent classroom practitioner. You will be committed to maximising the progress and achievement of every student and will be somebody who can continue the growth and development of our school and this subject area. You will teach Key Stage 3 &amp; 4. </w:t>
      </w:r>
    </w:p>
    <w:p w14:paraId="43953945" w14:textId="729D2BC8" w:rsidR="00A56394" w:rsidRPr="00714E0A" w:rsidRDefault="00A56394" w:rsidP="00A56394">
      <w:pPr>
        <w:rPr>
          <w:rFonts w:ascii="Calibri" w:hAnsi="Calibri" w:cs="Calibri"/>
          <w:color w:val="000000" w:themeColor="text1"/>
        </w:rPr>
      </w:pPr>
      <w:r w:rsidRPr="00714E0A">
        <w:rPr>
          <w:color w:val="000000" w:themeColor="text1"/>
        </w:rPr>
        <w:t>The successful candidate will be committed to our motto of ‘achieving excellence through partnership’ and have the skills, expertise and determination to make a difference to the lives of our students, making Food Technology exciting and interesting. We are working to create something exceptional for the young people in our community and if this ambition appeals to you, we would be delighted to receive an application from you.</w:t>
      </w:r>
    </w:p>
    <w:p w14:paraId="51F0558A" w14:textId="107279AF" w:rsidR="005E5109" w:rsidRPr="00714E0A" w:rsidRDefault="005E5109" w:rsidP="005E5109">
      <w:pPr>
        <w:rPr>
          <w:rFonts w:ascii="Calibri" w:hAnsi="Calibri" w:cs="Calibri"/>
          <w:b/>
          <w:bCs/>
          <w:color w:val="000000" w:themeColor="text1"/>
        </w:rPr>
      </w:pPr>
      <w:r w:rsidRPr="00714E0A">
        <w:rPr>
          <w:rFonts w:ascii="Calibri" w:hAnsi="Calibri" w:cs="Calibri"/>
          <w:color w:val="000000" w:themeColor="text1"/>
        </w:rPr>
        <w:t>Tottington High School is a school with a very clear vision for its future, part of the family within The Shaw Education Trust. Tottington High School is an 11–16-year mixed community high school positioned north of Bury, Greater Manchester.</w:t>
      </w:r>
    </w:p>
    <w:p w14:paraId="0B9505A3" w14:textId="603E12D4" w:rsidR="00616306" w:rsidRPr="00714E0A" w:rsidRDefault="00FC08F8" w:rsidP="00616306">
      <w:pPr>
        <w:tabs>
          <w:tab w:val="left" w:pos="2916"/>
        </w:tabs>
        <w:rPr>
          <w:b/>
          <w:bCs/>
          <w:color w:val="000000" w:themeColor="text1"/>
        </w:rPr>
      </w:pPr>
      <w:r w:rsidRPr="00714E0A">
        <w:rPr>
          <w:rFonts w:cstheme="minorHAnsi"/>
          <w:b/>
          <w:bCs/>
          <w:color w:val="000000" w:themeColor="text1"/>
        </w:rPr>
        <w:t>All candidates are required to provide a supporting statement on the formal application forms which states clearly your reasons for applying, skills and experience for this position.</w:t>
      </w:r>
    </w:p>
    <w:p w14:paraId="013D32A5" w14:textId="7E6FC942" w:rsidR="009C79AA" w:rsidRPr="00714E0A" w:rsidRDefault="00616306" w:rsidP="009C79AA">
      <w:pPr>
        <w:pStyle w:val="NoSpacing"/>
        <w:rPr>
          <w:color w:val="000000" w:themeColor="text1"/>
        </w:rPr>
      </w:pPr>
      <w:r w:rsidRPr="00714E0A">
        <w:rPr>
          <w:b/>
          <w:bCs/>
          <w:color w:val="000000" w:themeColor="text1"/>
        </w:rPr>
        <w:t>Shaw Education Trust</w:t>
      </w:r>
      <w:r w:rsidRPr="00714E0A">
        <w:rPr>
          <w:color w:val="000000" w:themeColor="text1"/>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9C79AA" w:rsidRPr="00714E0A">
        <w:rPr>
          <w:color w:val="000000" w:themeColor="text1"/>
        </w:rPr>
        <w:t xml:space="preserve">Our schools span from Birmingham to Bury, meaning that we can support students from all walks of life, no matter their background or socioeconomic status. In doing this, we </w:t>
      </w:r>
      <w:r w:rsidR="001F0194" w:rsidRPr="00714E0A">
        <w:rPr>
          <w:color w:val="000000" w:themeColor="text1"/>
        </w:rPr>
        <w:t>can</w:t>
      </w:r>
      <w:r w:rsidR="009C79AA" w:rsidRPr="00714E0A">
        <w:rPr>
          <w:color w:val="000000" w:themeColor="text1"/>
        </w:rPr>
        <w:t xml:space="preserve"> help ensure all children are able to access a high standard of education, with all being treated equally.</w:t>
      </w:r>
    </w:p>
    <w:p w14:paraId="7324385D" w14:textId="4F934F68" w:rsidR="00B76816" w:rsidRPr="00714E0A" w:rsidRDefault="00B76816" w:rsidP="00893B49">
      <w:pPr>
        <w:pStyle w:val="NoSpacing"/>
        <w:rPr>
          <w:color w:val="000000" w:themeColor="text1"/>
        </w:rPr>
      </w:pPr>
    </w:p>
    <w:p w14:paraId="0A1C63ED" w14:textId="77777777" w:rsidR="002237B5" w:rsidRPr="00714E0A" w:rsidRDefault="002237B5" w:rsidP="002237B5">
      <w:pPr>
        <w:pStyle w:val="NoSpacing"/>
        <w:rPr>
          <w:color w:val="000000" w:themeColor="text1"/>
        </w:rPr>
      </w:pPr>
      <w:r w:rsidRPr="00714E0A">
        <w:rPr>
          <w:color w:val="000000" w:themeColor="text1"/>
        </w:rP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rsidRPr="00714E0A">
        <w:rPr>
          <w:color w:val="000000" w:themeColor="text1"/>
        </w:rPr>
        <w:t>vocational and technical pathways</w:t>
      </w:r>
      <w:proofErr w:type="gramEnd"/>
      <w:r w:rsidRPr="00714E0A">
        <w:rPr>
          <w:color w:val="000000" w:themeColor="text1"/>
        </w:rPr>
        <w:t xml:space="preserve">, which run through the normal school curriculum but attract support from leading employers and universities to develops work-readiness in our pupils, so that they can progress onto T Levels and apprenticeships. </w:t>
      </w:r>
    </w:p>
    <w:p w14:paraId="7E323191" w14:textId="77777777" w:rsidR="002237B5" w:rsidRPr="00714E0A" w:rsidRDefault="002237B5" w:rsidP="002237B5">
      <w:pPr>
        <w:pStyle w:val="NoSpacing"/>
        <w:rPr>
          <w:color w:val="000000" w:themeColor="text1"/>
        </w:rPr>
      </w:pPr>
    </w:p>
    <w:p w14:paraId="66A489E6" w14:textId="77777777" w:rsidR="002237B5" w:rsidRPr="00714E0A" w:rsidRDefault="002237B5" w:rsidP="002237B5">
      <w:pPr>
        <w:pStyle w:val="NoSpacing"/>
        <w:rPr>
          <w:color w:val="000000" w:themeColor="text1"/>
        </w:rPr>
      </w:pPr>
      <w:r w:rsidRPr="00714E0A">
        <w:rPr>
          <w:color w:val="000000" w:themeColor="text1"/>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514B3111" w14:textId="77777777" w:rsidR="002237B5" w:rsidRPr="00714E0A" w:rsidRDefault="002237B5" w:rsidP="002237B5">
      <w:pPr>
        <w:pStyle w:val="NoSpacing"/>
        <w:rPr>
          <w:color w:val="000000" w:themeColor="text1"/>
        </w:rPr>
      </w:pPr>
    </w:p>
    <w:p w14:paraId="2C53448A" w14:textId="77777777" w:rsidR="004B1316" w:rsidRPr="00714E0A" w:rsidRDefault="002237B5" w:rsidP="002237B5">
      <w:pPr>
        <w:pStyle w:val="NoSpacing"/>
        <w:rPr>
          <w:color w:val="000000" w:themeColor="text1"/>
        </w:rPr>
      </w:pPr>
      <w:r w:rsidRPr="00714E0A">
        <w:rPr>
          <w:color w:val="000000" w:themeColor="text1"/>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w:t>
      </w:r>
    </w:p>
    <w:p w14:paraId="4CA64453" w14:textId="76622A79" w:rsidR="002237B5" w:rsidRPr="00714E0A" w:rsidRDefault="002237B5" w:rsidP="002237B5">
      <w:pPr>
        <w:pStyle w:val="NoSpacing"/>
        <w:rPr>
          <w:color w:val="000000" w:themeColor="text1"/>
        </w:rPr>
      </w:pPr>
      <w:r w:rsidRPr="00714E0A">
        <w:rPr>
          <w:color w:val="000000" w:themeColor="text1"/>
        </w:rPr>
        <w:t xml:space="preserve">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subject staff across the trust to design and deliver the very best curricula, providing subject specific pedagogical support. </w:t>
      </w:r>
    </w:p>
    <w:p w14:paraId="2197F441" w14:textId="77777777" w:rsidR="002237B5" w:rsidRPr="00714E0A" w:rsidRDefault="002237B5" w:rsidP="002237B5">
      <w:pPr>
        <w:pStyle w:val="NoSpacing"/>
        <w:rPr>
          <w:color w:val="000000" w:themeColor="text1"/>
        </w:rPr>
      </w:pPr>
    </w:p>
    <w:p w14:paraId="465352DD" w14:textId="148643EB" w:rsidR="006141BA" w:rsidRPr="00714E0A" w:rsidRDefault="006141BA" w:rsidP="006141BA">
      <w:pPr>
        <w:rPr>
          <w:color w:val="000000" w:themeColor="text1"/>
        </w:rPr>
      </w:pPr>
      <w:r w:rsidRPr="00714E0A">
        <w:rPr>
          <w:b/>
          <w:bCs/>
          <w:color w:val="000000" w:themeColor="text1"/>
        </w:rPr>
        <w:t>Shaw Education Trust offer the following benefits with your Teaching or Support Staff employment:</w:t>
      </w:r>
    </w:p>
    <w:p w14:paraId="059EBB16" w14:textId="77777777" w:rsidR="006141BA" w:rsidRPr="00714E0A" w:rsidRDefault="006141BA" w:rsidP="006141BA">
      <w:pPr>
        <w:pStyle w:val="ListParagraph"/>
        <w:numPr>
          <w:ilvl w:val="0"/>
          <w:numId w:val="5"/>
        </w:numPr>
        <w:spacing w:after="0" w:line="240" w:lineRule="auto"/>
        <w:contextualSpacing w:val="0"/>
        <w:rPr>
          <w:rFonts w:eastAsia="Times New Roman"/>
          <w:color w:val="000000" w:themeColor="text1"/>
        </w:rPr>
      </w:pPr>
      <w:r w:rsidRPr="00714E0A">
        <w:rPr>
          <w:rFonts w:eastAsia="Times New Roman"/>
          <w:color w:val="000000" w:themeColor="text1"/>
        </w:rPr>
        <w:t>An excellent Local Government Pension Scheme (Support Staff) / Teachers Pension (Teaching Staff)</w:t>
      </w:r>
    </w:p>
    <w:p w14:paraId="357BE374" w14:textId="0D601018" w:rsidR="006141BA" w:rsidRPr="00714E0A" w:rsidRDefault="006141BA" w:rsidP="006141BA">
      <w:pPr>
        <w:pStyle w:val="ListParagraph"/>
        <w:numPr>
          <w:ilvl w:val="0"/>
          <w:numId w:val="5"/>
        </w:numPr>
        <w:spacing w:after="0" w:line="240" w:lineRule="auto"/>
        <w:rPr>
          <w:rFonts w:eastAsia="Times New Roman"/>
          <w:color w:val="000000" w:themeColor="text1"/>
        </w:rPr>
      </w:pPr>
      <w:r w:rsidRPr="00714E0A">
        <w:rPr>
          <w:rFonts w:eastAsia="Times New Roman"/>
          <w:b/>
          <w:bCs/>
          <w:color w:val="000000" w:themeColor="text1"/>
          <w:lang w:val="en-US" w:eastAsia="ja-JP"/>
        </w:rPr>
        <w:t>Support Staff only</w:t>
      </w:r>
      <w:r w:rsidRPr="00714E0A">
        <w:rPr>
          <w:rFonts w:eastAsia="Times New Roman"/>
          <w:color w:val="000000" w:themeColor="text1"/>
          <w:lang w:val="en-US" w:eastAsia="ja-JP"/>
        </w:rPr>
        <w:t xml:space="preserve"> based on working </w:t>
      </w:r>
      <w:r w:rsidRPr="00714E0A">
        <w:rPr>
          <w:rFonts w:eastAsia="Times New Roman"/>
          <w:b/>
          <w:bCs/>
          <w:color w:val="000000" w:themeColor="text1"/>
          <w:lang w:val="en-US" w:eastAsia="ja-JP"/>
        </w:rPr>
        <w:t>full time, all year</w:t>
      </w:r>
      <w:r w:rsidRPr="00714E0A">
        <w:rPr>
          <w:rFonts w:eastAsia="Times New Roman"/>
          <w:color w:val="000000" w:themeColor="text1"/>
          <w:lang w:val="en-US" w:eastAsia="ja-JP"/>
        </w:rPr>
        <w:t xml:space="preserve"> - Generous holiday entitlement from your first day of employment (</w:t>
      </w:r>
      <w:r w:rsidRPr="00714E0A">
        <w:rPr>
          <w:rFonts w:eastAsia="Times New Roman"/>
          <w:b/>
          <w:bCs/>
          <w:color w:val="000000" w:themeColor="text1"/>
          <w:lang w:val="en-US" w:eastAsia="ja-JP"/>
        </w:rPr>
        <w:t>3</w:t>
      </w:r>
      <w:r w:rsidR="002E372F" w:rsidRPr="00714E0A">
        <w:rPr>
          <w:rFonts w:eastAsia="Times New Roman"/>
          <w:b/>
          <w:bCs/>
          <w:color w:val="000000" w:themeColor="text1"/>
          <w:lang w:val="en-US" w:eastAsia="ja-JP"/>
        </w:rPr>
        <w:t>7</w:t>
      </w:r>
      <w:r w:rsidRPr="00714E0A">
        <w:rPr>
          <w:rFonts w:eastAsia="Times New Roman"/>
          <w:b/>
          <w:bCs/>
          <w:color w:val="000000" w:themeColor="text1"/>
          <w:lang w:val="en-US" w:eastAsia="ja-JP"/>
        </w:rPr>
        <w:t xml:space="preserve"> days holiday</w:t>
      </w:r>
      <w:r w:rsidRPr="00714E0A">
        <w:rPr>
          <w:rFonts w:eastAsia="Times New Roman"/>
          <w:color w:val="000000" w:themeColor="text1"/>
          <w:lang w:val="en-US" w:eastAsia="ja-JP"/>
        </w:rPr>
        <w:t xml:space="preserve"> </w:t>
      </w:r>
      <w:r w:rsidRPr="00714E0A">
        <w:rPr>
          <w:rFonts w:eastAsia="Times New Roman"/>
          <w:b/>
          <w:bCs/>
          <w:color w:val="000000" w:themeColor="text1"/>
          <w:lang w:val="en-US" w:eastAsia="ja-JP"/>
        </w:rPr>
        <w:t>rising to 3</w:t>
      </w:r>
      <w:r w:rsidR="002E372F" w:rsidRPr="00714E0A">
        <w:rPr>
          <w:rFonts w:eastAsia="Times New Roman"/>
          <w:b/>
          <w:bCs/>
          <w:color w:val="000000" w:themeColor="text1"/>
          <w:lang w:val="en-US" w:eastAsia="ja-JP"/>
        </w:rPr>
        <w:t>9</w:t>
      </w:r>
      <w:r w:rsidRPr="00714E0A">
        <w:rPr>
          <w:rFonts w:eastAsia="Times New Roman"/>
          <w:b/>
          <w:bCs/>
          <w:color w:val="000000" w:themeColor="text1"/>
          <w:lang w:val="en-US" w:eastAsia="ja-JP"/>
        </w:rPr>
        <w:t xml:space="preserve"> days</w:t>
      </w:r>
      <w:r w:rsidRPr="00714E0A">
        <w:rPr>
          <w:rFonts w:eastAsia="Times New Roman"/>
          <w:color w:val="000000" w:themeColor="text1"/>
          <w:lang w:val="en-US" w:eastAsia="ja-JP"/>
        </w:rPr>
        <w:t xml:space="preserve"> after 5 years’ service including Bank Holidays)</w:t>
      </w:r>
      <w:r w:rsidRPr="00714E0A">
        <w:rPr>
          <w:rFonts w:eastAsia="Times New Roman"/>
          <w:b/>
          <w:bCs/>
          <w:color w:val="000000" w:themeColor="text1"/>
          <w:lang w:val="en-US" w:eastAsia="ja-JP"/>
        </w:rPr>
        <w:t xml:space="preserve"> </w:t>
      </w:r>
    </w:p>
    <w:p w14:paraId="6CD1B646" w14:textId="22C9C14C" w:rsidR="006141BA" w:rsidRPr="00714E0A" w:rsidRDefault="006141BA" w:rsidP="006141BA">
      <w:pPr>
        <w:pStyle w:val="ListParagraph"/>
        <w:numPr>
          <w:ilvl w:val="0"/>
          <w:numId w:val="5"/>
        </w:numPr>
        <w:spacing w:after="0" w:line="240" w:lineRule="auto"/>
        <w:contextualSpacing w:val="0"/>
        <w:rPr>
          <w:rFonts w:eastAsia="Times New Roman"/>
          <w:color w:val="000000" w:themeColor="text1"/>
        </w:rPr>
      </w:pPr>
      <w:r w:rsidRPr="00714E0A">
        <w:rPr>
          <w:rFonts w:eastAsia="Times New Roman"/>
          <w:color w:val="000000" w:themeColor="text1"/>
        </w:rPr>
        <w:t>Access to health and wellbeing support via Occupational Health</w:t>
      </w:r>
    </w:p>
    <w:p w14:paraId="444A932A" w14:textId="77777777" w:rsidR="006141BA" w:rsidRPr="00714E0A" w:rsidRDefault="006141BA" w:rsidP="006141BA">
      <w:pPr>
        <w:pStyle w:val="ListParagraph"/>
        <w:numPr>
          <w:ilvl w:val="0"/>
          <w:numId w:val="5"/>
        </w:numPr>
        <w:spacing w:after="0" w:line="240" w:lineRule="auto"/>
        <w:contextualSpacing w:val="0"/>
        <w:rPr>
          <w:rFonts w:eastAsia="Times New Roman"/>
          <w:color w:val="000000" w:themeColor="text1"/>
        </w:rPr>
      </w:pPr>
      <w:r w:rsidRPr="00714E0A">
        <w:rPr>
          <w:rFonts w:eastAsia="Times New Roman"/>
          <w:color w:val="000000" w:themeColor="text1"/>
        </w:rPr>
        <w:t xml:space="preserve">Cycle to work </w:t>
      </w:r>
      <w:proofErr w:type="gramStart"/>
      <w:r w:rsidRPr="00714E0A">
        <w:rPr>
          <w:rFonts w:eastAsia="Times New Roman"/>
          <w:color w:val="000000" w:themeColor="text1"/>
        </w:rPr>
        <w:t>scheme</w:t>
      </w:r>
      <w:proofErr w:type="gramEnd"/>
    </w:p>
    <w:p w14:paraId="7BFC9649" w14:textId="77777777" w:rsidR="006141BA" w:rsidRPr="00714E0A" w:rsidRDefault="006141BA" w:rsidP="006141BA">
      <w:pPr>
        <w:numPr>
          <w:ilvl w:val="0"/>
          <w:numId w:val="5"/>
        </w:numPr>
        <w:spacing w:after="0" w:line="240" w:lineRule="auto"/>
        <w:rPr>
          <w:rFonts w:eastAsia="Times New Roman"/>
          <w:color w:val="000000" w:themeColor="text1"/>
        </w:rPr>
      </w:pPr>
      <w:r w:rsidRPr="00714E0A">
        <w:rPr>
          <w:rFonts w:eastAsia="Times New Roman"/>
          <w:color w:val="000000" w:themeColor="text1"/>
          <w:lang w:val="en-US" w:eastAsia="ja-JP"/>
        </w:rPr>
        <w:t xml:space="preserve">Access to our Institute of Education and fantastic opportunities to help you </w:t>
      </w:r>
      <w:r w:rsidRPr="00714E0A">
        <w:rPr>
          <w:rFonts w:eastAsia="Times New Roman"/>
          <w:b/>
          <w:bCs/>
          <w:color w:val="000000" w:themeColor="text1"/>
          <w:lang w:val="en-US" w:eastAsia="ja-JP"/>
        </w:rPr>
        <w:t>grow, contribute</w:t>
      </w:r>
      <w:r w:rsidRPr="00714E0A">
        <w:rPr>
          <w:rFonts w:eastAsia="Times New Roman"/>
          <w:color w:val="000000" w:themeColor="text1"/>
          <w:lang w:val="en-US" w:eastAsia="ja-JP"/>
        </w:rPr>
        <w:t xml:space="preserve"> and </w:t>
      </w:r>
      <w:r w:rsidRPr="00714E0A">
        <w:rPr>
          <w:rFonts w:eastAsia="Times New Roman"/>
          <w:b/>
          <w:bCs/>
          <w:color w:val="000000" w:themeColor="text1"/>
          <w:lang w:val="en-US" w:eastAsia="ja-JP"/>
        </w:rPr>
        <w:t>flourish</w:t>
      </w:r>
      <w:r w:rsidRPr="00714E0A">
        <w:rPr>
          <w:rFonts w:eastAsia="Times New Roman"/>
          <w:color w:val="000000" w:themeColor="text1"/>
          <w:lang w:val="en-US" w:eastAsia="ja-JP"/>
        </w:rPr>
        <w:t xml:space="preserve"> in your role and in the Trust. </w:t>
      </w:r>
    </w:p>
    <w:p w14:paraId="4EDC28A4" w14:textId="77777777" w:rsidR="00714E0A" w:rsidRPr="00714E0A" w:rsidRDefault="00714E0A" w:rsidP="00714E0A">
      <w:pPr>
        <w:spacing w:after="0" w:line="240" w:lineRule="auto"/>
        <w:ind w:left="720"/>
        <w:rPr>
          <w:rFonts w:eastAsia="Times New Roman"/>
          <w:color w:val="000000" w:themeColor="text1"/>
        </w:rPr>
      </w:pPr>
    </w:p>
    <w:p w14:paraId="47F500F7" w14:textId="77777777" w:rsidR="00714E0A" w:rsidRPr="00714E0A" w:rsidRDefault="006141BA" w:rsidP="00714E0A">
      <w:pPr>
        <w:pStyle w:val="NoSpacing"/>
        <w:rPr>
          <w:b/>
          <w:bCs/>
          <w:color w:val="000000" w:themeColor="text1"/>
        </w:rPr>
      </w:pPr>
      <w:r w:rsidRPr="00714E0A">
        <w:rPr>
          <w:color w:val="000000" w:themeColor="text1"/>
          <w:lang w:val="en-US"/>
        </w:rPr>
        <w:t> </w:t>
      </w:r>
      <w:r w:rsidR="00714E0A" w:rsidRPr="00714E0A">
        <w:rPr>
          <w:b/>
          <w:bCs/>
          <w:color w:val="000000" w:themeColor="text1"/>
        </w:rPr>
        <w:t>Colleagues within the Trust benefit from:</w:t>
      </w:r>
    </w:p>
    <w:p w14:paraId="1D32E24B" w14:textId="77777777" w:rsidR="00714E0A" w:rsidRPr="00714E0A" w:rsidRDefault="00714E0A" w:rsidP="00714E0A">
      <w:pPr>
        <w:pStyle w:val="NoSpacing"/>
        <w:rPr>
          <w:b/>
          <w:bCs/>
          <w:color w:val="000000" w:themeColor="text1"/>
        </w:rPr>
      </w:pPr>
    </w:p>
    <w:p w14:paraId="44201390" w14:textId="77777777" w:rsidR="00714E0A" w:rsidRPr="00714E0A" w:rsidRDefault="00714E0A" w:rsidP="00714E0A">
      <w:pPr>
        <w:pStyle w:val="NoSpacing"/>
        <w:numPr>
          <w:ilvl w:val="0"/>
          <w:numId w:val="6"/>
        </w:numPr>
        <w:rPr>
          <w:color w:val="000000" w:themeColor="text1"/>
        </w:rPr>
      </w:pPr>
      <w:r w:rsidRPr="00714E0A">
        <w:rPr>
          <w:color w:val="000000" w:themeColor="text1"/>
        </w:rPr>
        <w:t xml:space="preserve">Access to a full range of courses both in-house and professionally accredited. These courses include </w:t>
      </w:r>
      <w:proofErr w:type="gramStart"/>
      <w:r w:rsidRPr="00714E0A">
        <w:rPr>
          <w:color w:val="000000" w:themeColor="text1"/>
        </w:rPr>
        <w:t>all of</w:t>
      </w:r>
      <w:proofErr w:type="gramEnd"/>
      <w:r w:rsidRPr="00714E0A">
        <w:rPr>
          <w:color w:val="000000" w:themeColor="text1"/>
        </w:rPr>
        <w:t xml:space="preserve"> the National Professional Qualifications – NPQH, NPQSL, NPQML.</w:t>
      </w:r>
    </w:p>
    <w:p w14:paraId="1D9B5D9F" w14:textId="77777777" w:rsidR="00714E0A" w:rsidRPr="00714E0A" w:rsidRDefault="00714E0A" w:rsidP="00714E0A">
      <w:pPr>
        <w:pStyle w:val="NoSpacing"/>
        <w:numPr>
          <w:ilvl w:val="0"/>
          <w:numId w:val="6"/>
        </w:numPr>
        <w:rPr>
          <w:color w:val="000000" w:themeColor="text1"/>
        </w:rPr>
      </w:pPr>
      <w:r w:rsidRPr="00714E0A">
        <w:rPr>
          <w:color w:val="000000" w:themeColor="text1"/>
        </w:rPr>
        <w:t>High quality subject and thematic networks across the Trust and the region.</w:t>
      </w:r>
    </w:p>
    <w:p w14:paraId="6C635C39" w14:textId="77777777" w:rsidR="00714E0A" w:rsidRPr="00714E0A" w:rsidRDefault="00714E0A" w:rsidP="00714E0A">
      <w:pPr>
        <w:pStyle w:val="NoSpacing"/>
        <w:numPr>
          <w:ilvl w:val="0"/>
          <w:numId w:val="6"/>
        </w:numPr>
        <w:rPr>
          <w:color w:val="000000" w:themeColor="text1"/>
        </w:rPr>
      </w:pPr>
      <w:r w:rsidRPr="00714E0A">
        <w:rPr>
          <w:color w:val="000000" w:themeColor="text1"/>
        </w:rPr>
        <w:t>Experienced leadership and subject-specific support.</w:t>
      </w:r>
    </w:p>
    <w:p w14:paraId="3AD5F124" w14:textId="77777777" w:rsidR="00714E0A" w:rsidRPr="00714E0A" w:rsidRDefault="00714E0A" w:rsidP="00714E0A">
      <w:pPr>
        <w:pStyle w:val="NoSpacing"/>
        <w:numPr>
          <w:ilvl w:val="0"/>
          <w:numId w:val="6"/>
        </w:numPr>
        <w:rPr>
          <w:color w:val="000000" w:themeColor="text1"/>
        </w:rPr>
      </w:pPr>
      <w:r w:rsidRPr="00714E0A">
        <w:rPr>
          <w:color w:val="000000" w:themeColor="text1"/>
        </w:rPr>
        <w:t>Guidance from former HMIs and serving Ofsted Inspectors within the Trust.</w:t>
      </w:r>
    </w:p>
    <w:p w14:paraId="3C90C46D" w14:textId="77777777" w:rsidR="00714E0A" w:rsidRPr="00714E0A" w:rsidRDefault="00714E0A" w:rsidP="00714E0A">
      <w:pPr>
        <w:pStyle w:val="NoSpacing"/>
        <w:numPr>
          <w:ilvl w:val="0"/>
          <w:numId w:val="6"/>
        </w:numPr>
        <w:rPr>
          <w:color w:val="000000" w:themeColor="text1"/>
        </w:rPr>
      </w:pPr>
      <w:r w:rsidRPr="00714E0A">
        <w:rPr>
          <w:color w:val="000000" w:themeColor="text1"/>
        </w:rPr>
        <w:t>Access to the Trust’s Teaching School, Research School, Institute of Education and SCITT.</w:t>
      </w:r>
    </w:p>
    <w:p w14:paraId="18CC54FA" w14:textId="77777777" w:rsidR="00714E0A" w:rsidRPr="00714E0A" w:rsidRDefault="00714E0A" w:rsidP="00714E0A">
      <w:pPr>
        <w:pStyle w:val="NoSpacing"/>
        <w:numPr>
          <w:ilvl w:val="0"/>
          <w:numId w:val="6"/>
        </w:numPr>
        <w:rPr>
          <w:color w:val="000000" w:themeColor="text1"/>
        </w:rPr>
      </w:pPr>
      <w:r w:rsidRPr="00714E0A">
        <w:rPr>
          <w:color w:val="000000" w:themeColor="text1"/>
        </w:rPr>
        <w:t>Opportunities to work with different schools within the Trust as a Professional Advocate.</w:t>
      </w:r>
    </w:p>
    <w:p w14:paraId="71E4CA51" w14:textId="77777777" w:rsidR="00714E0A" w:rsidRPr="00714E0A" w:rsidRDefault="00714E0A" w:rsidP="00714E0A">
      <w:pPr>
        <w:pStyle w:val="NoSpacing"/>
        <w:numPr>
          <w:ilvl w:val="0"/>
          <w:numId w:val="6"/>
        </w:numPr>
        <w:rPr>
          <w:color w:val="000000" w:themeColor="text1"/>
        </w:rPr>
      </w:pPr>
      <w:r w:rsidRPr="00714E0A">
        <w:rPr>
          <w:color w:val="000000" w:themeColor="text1"/>
        </w:rPr>
        <w:t>Participating in peer reviews.</w:t>
      </w:r>
    </w:p>
    <w:p w14:paraId="71327AE9" w14:textId="77777777" w:rsidR="00714E0A" w:rsidRPr="00714E0A" w:rsidRDefault="00714E0A" w:rsidP="00714E0A">
      <w:pPr>
        <w:pStyle w:val="NoSpacing"/>
        <w:numPr>
          <w:ilvl w:val="0"/>
          <w:numId w:val="6"/>
        </w:numPr>
        <w:rPr>
          <w:color w:val="000000" w:themeColor="text1"/>
        </w:rPr>
      </w:pPr>
      <w:r w:rsidRPr="00714E0A">
        <w:rPr>
          <w:color w:val="000000" w:themeColor="text1"/>
        </w:rPr>
        <w:t>Access to a suite of online courses.</w:t>
      </w:r>
    </w:p>
    <w:p w14:paraId="38A235A8" w14:textId="77777777" w:rsidR="00714E0A" w:rsidRPr="00714E0A" w:rsidRDefault="00714E0A" w:rsidP="00714E0A">
      <w:pPr>
        <w:pStyle w:val="NoSpacing"/>
        <w:numPr>
          <w:ilvl w:val="0"/>
          <w:numId w:val="6"/>
        </w:numPr>
        <w:rPr>
          <w:color w:val="000000" w:themeColor="text1"/>
        </w:rPr>
      </w:pPr>
      <w:r w:rsidRPr="00714E0A">
        <w:rPr>
          <w:color w:val="000000" w:themeColor="text1"/>
        </w:rPr>
        <w:t>Placement projects within our family of schools</w:t>
      </w:r>
    </w:p>
    <w:p w14:paraId="4735A067" w14:textId="77777777" w:rsidR="00714E0A" w:rsidRPr="00714E0A" w:rsidRDefault="00714E0A" w:rsidP="0090533D">
      <w:pPr>
        <w:rPr>
          <w:color w:val="000000" w:themeColor="text1"/>
        </w:rPr>
      </w:pPr>
    </w:p>
    <w:p w14:paraId="7CABD341" w14:textId="5CD0556A" w:rsidR="006141BA" w:rsidRPr="00714E0A" w:rsidRDefault="005B550C" w:rsidP="006141BA">
      <w:pPr>
        <w:pStyle w:val="xmsonormal"/>
        <w:rPr>
          <w:color w:val="000000" w:themeColor="text1"/>
        </w:rPr>
      </w:pPr>
      <w:r w:rsidRPr="00714E0A">
        <w:rPr>
          <w:b/>
          <w:bCs/>
          <w:color w:val="000000" w:themeColor="text1"/>
        </w:rPr>
        <w:t>TOTTINGTON HIGH SCHOOL</w:t>
      </w:r>
      <w:r w:rsidR="006141BA" w:rsidRPr="00714E0A">
        <w:rPr>
          <w:color w:val="000000" w:themeColor="text1"/>
        </w:rPr>
        <w:t xml:space="preserve"> is committed to safeguarding and promoting the welfare of children and young people and expects all staff and volunteers to share this commitment, click here to review Safeguarding and Pupil Protection Policy </w:t>
      </w:r>
      <w:hyperlink r:id="rId10" w:history="1">
        <w:r w:rsidR="00E01EB7" w:rsidRPr="00714E0A">
          <w:rPr>
            <w:rStyle w:val="Hyperlink"/>
            <w:color w:val="000000" w:themeColor="text1"/>
          </w:rPr>
          <w:t>https://www.shaw-education.org.uk/our-trust/key-information</w:t>
        </w:r>
      </w:hyperlink>
    </w:p>
    <w:p w14:paraId="456767D1" w14:textId="77777777" w:rsidR="006141BA" w:rsidRPr="00714E0A" w:rsidRDefault="006141BA" w:rsidP="006141BA">
      <w:pPr>
        <w:pStyle w:val="xmsonormal"/>
        <w:rPr>
          <w:color w:val="000000" w:themeColor="text1"/>
        </w:rPr>
      </w:pPr>
    </w:p>
    <w:p w14:paraId="28210462" w14:textId="77777777" w:rsidR="005F51E7" w:rsidRPr="00714E0A" w:rsidRDefault="006141BA" w:rsidP="006141BA">
      <w:pPr>
        <w:pStyle w:val="xmsonormal"/>
        <w:rPr>
          <w:color w:val="000000" w:themeColor="text1"/>
        </w:rPr>
      </w:pPr>
      <w:r w:rsidRPr="00714E0A">
        <w:rPr>
          <w:color w:val="000000" w:themeColor="text1"/>
        </w:rPr>
        <w:t>This position is subject to appropriate vetting procedures including a</w:t>
      </w:r>
      <w:r w:rsidR="002E372F" w:rsidRPr="00714E0A">
        <w:rPr>
          <w:color w:val="000000" w:themeColor="text1"/>
        </w:rPr>
        <w:t xml:space="preserve">n online checks and </w:t>
      </w:r>
      <w:r w:rsidRPr="00714E0A">
        <w:rPr>
          <w:color w:val="000000" w:themeColor="text1"/>
        </w:rPr>
        <w:t>criminal record check from the Disclosure and Barring Service (formerly CRB) which will require you to disclose details of all unspent and unfiltered spent reprimands, formal warnings, cautions and convictions.</w:t>
      </w:r>
      <w:r w:rsidR="000C7D22" w:rsidRPr="00714E0A">
        <w:rPr>
          <w:color w:val="000000" w:themeColor="text1"/>
        </w:rPr>
        <w:t xml:space="preserve"> </w:t>
      </w:r>
    </w:p>
    <w:p w14:paraId="66D44DE3" w14:textId="6147F7FB" w:rsidR="006141BA" w:rsidRPr="00714E0A" w:rsidRDefault="000C7D22" w:rsidP="006141BA">
      <w:pPr>
        <w:pStyle w:val="xmsonormal"/>
        <w:rPr>
          <w:color w:val="000000" w:themeColor="text1"/>
        </w:rPr>
      </w:pPr>
      <w:r w:rsidRPr="00714E0A">
        <w:rPr>
          <w:color w:val="000000" w:themeColor="text1"/>
        </w:rPr>
        <w:t xml:space="preserve">All shortlisted candidates will undergo an online search as part of </w:t>
      </w:r>
      <w:r w:rsidR="005F51E7" w:rsidRPr="00714E0A">
        <w:rPr>
          <w:color w:val="000000" w:themeColor="text1"/>
        </w:rPr>
        <w:t xml:space="preserve">Trust </w:t>
      </w:r>
      <w:r w:rsidR="00635F5B" w:rsidRPr="00714E0A">
        <w:rPr>
          <w:color w:val="000000" w:themeColor="text1"/>
        </w:rPr>
        <w:t xml:space="preserve">safer recruitment </w:t>
      </w:r>
      <w:r w:rsidRPr="00714E0A">
        <w:rPr>
          <w:color w:val="000000" w:themeColor="text1"/>
        </w:rPr>
        <w:t>checks.</w:t>
      </w:r>
    </w:p>
    <w:p w14:paraId="6789104D" w14:textId="77777777" w:rsidR="008E4C35" w:rsidRPr="00714E0A" w:rsidRDefault="008E4C35" w:rsidP="006141BA">
      <w:pPr>
        <w:pStyle w:val="xmsonormal"/>
        <w:rPr>
          <w:color w:val="000000" w:themeColor="text1"/>
        </w:rPr>
      </w:pPr>
    </w:p>
    <w:p w14:paraId="79BCDF3E" w14:textId="77777777" w:rsidR="006141BA" w:rsidRPr="00714E0A" w:rsidRDefault="006141BA" w:rsidP="006141BA">
      <w:pPr>
        <w:pStyle w:val="xmsonospacing"/>
        <w:jc w:val="both"/>
        <w:rPr>
          <w:rFonts w:ascii="Calibri" w:hAnsi="Calibri" w:cs="Calibri"/>
          <w:color w:val="000000" w:themeColor="text1"/>
          <w:sz w:val="22"/>
          <w:szCs w:val="22"/>
          <w:lang w:val="en-US"/>
        </w:rPr>
      </w:pPr>
      <w:r w:rsidRPr="00714E0A">
        <w:rPr>
          <w:rFonts w:ascii="Calibri" w:hAnsi="Calibri" w:cs="Calibri"/>
          <w:color w:val="000000" w:themeColor="text1"/>
          <w:sz w:val="22"/>
          <w:szCs w:val="22"/>
          <w:lang w:val="en-US"/>
        </w:rPr>
        <w:t xml:space="preserve">We are an Equal Opportunities employer and will ensure that all our recruitment and selection practices reflect this commitment. </w:t>
      </w:r>
    </w:p>
    <w:p w14:paraId="5DCD4F4C" w14:textId="11B07185" w:rsidR="006141BA" w:rsidRPr="00714E0A" w:rsidRDefault="006141BA" w:rsidP="006141BA">
      <w:pPr>
        <w:pStyle w:val="xmsonormal"/>
        <w:rPr>
          <w:color w:val="000000" w:themeColor="text1"/>
        </w:rPr>
      </w:pPr>
    </w:p>
    <w:p w14:paraId="28680787" w14:textId="77777777" w:rsidR="006141BA" w:rsidRPr="00714E0A" w:rsidRDefault="006141BA" w:rsidP="006141BA">
      <w:pPr>
        <w:pStyle w:val="xmsonormal"/>
        <w:rPr>
          <w:color w:val="000000" w:themeColor="text1"/>
        </w:rPr>
      </w:pPr>
      <w:r w:rsidRPr="00714E0A">
        <w:rPr>
          <w:b/>
          <w:bCs/>
          <w:color w:val="000000" w:themeColor="text1"/>
        </w:rPr>
        <w:t>In accordance with our safer recruitment policy CV’s alone will not be accepted.</w:t>
      </w:r>
    </w:p>
    <w:p w14:paraId="39F5959E" w14:textId="77777777" w:rsidR="006141BA" w:rsidRPr="00714E0A" w:rsidRDefault="006141BA" w:rsidP="006141BA">
      <w:pPr>
        <w:pStyle w:val="xmsonormal"/>
        <w:rPr>
          <w:color w:val="000000" w:themeColor="text1"/>
        </w:rPr>
      </w:pPr>
      <w:r w:rsidRPr="00714E0A">
        <w:rPr>
          <w:color w:val="000000" w:themeColor="text1"/>
        </w:rPr>
        <w:t> </w:t>
      </w:r>
    </w:p>
    <w:p w14:paraId="670AC79E" w14:textId="77777777" w:rsidR="00714E0A" w:rsidRDefault="00714E0A" w:rsidP="006141BA">
      <w:pPr>
        <w:pStyle w:val="xmsonormal"/>
        <w:rPr>
          <w:b/>
          <w:bCs/>
          <w:color w:val="000000" w:themeColor="text1"/>
        </w:rPr>
      </w:pPr>
    </w:p>
    <w:p w14:paraId="3D720A08" w14:textId="77777777" w:rsidR="00714E0A" w:rsidRDefault="00714E0A" w:rsidP="006141BA">
      <w:pPr>
        <w:pStyle w:val="xmsonormal"/>
        <w:rPr>
          <w:b/>
          <w:bCs/>
          <w:color w:val="000000" w:themeColor="text1"/>
        </w:rPr>
      </w:pPr>
    </w:p>
    <w:p w14:paraId="1D79A47E" w14:textId="2398F169" w:rsidR="006141BA" w:rsidRPr="00714E0A" w:rsidRDefault="006141BA" w:rsidP="006141BA">
      <w:pPr>
        <w:pStyle w:val="xmsonormal"/>
        <w:rPr>
          <w:color w:val="000000" w:themeColor="text1"/>
        </w:rPr>
      </w:pPr>
      <w:r w:rsidRPr="00714E0A">
        <w:rPr>
          <w:b/>
          <w:bCs/>
          <w:color w:val="000000" w:themeColor="text1"/>
        </w:rPr>
        <w:t xml:space="preserve">Application deadline:    </w:t>
      </w:r>
      <w:r w:rsidR="00A028CD" w:rsidRPr="00714E0A">
        <w:rPr>
          <w:b/>
          <w:bCs/>
          <w:color w:val="000000" w:themeColor="text1"/>
        </w:rPr>
        <w:t>Monday, 25</w:t>
      </w:r>
      <w:r w:rsidR="00A028CD" w:rsidRPr="00714E0A">
        <w:rPr>
          <w:b/>
          <w:bCs/>
          <w:color w:val="000000" w:themeColor="text1"/>
          <w:vertAlign w:val="superscript"/>
        </w:rPr>
        <w:t>th</w:t>
      </w:r>
      <w:r w:rsidR="00A028CD" w:rsidRPr="00714E0A">
        <w:rPr>
          <w:b/>
          <w:bCs/>
          <w:color w:val="000000" w:themeColor="text1"/>
        </w:rPr>
        <w:t xml:space="preserve"> September 12 noon </w:t>
      </w:r>
      <w:r w:rsidR="00DA5100" w:rsidRPr="00714E0A">
        <w:rPr>
          <w:b/>
          <w:bCs/>
          <w:color w:val="000000" w:themeColor="text1"/>
        </w:rPr>
        <w:t xml:space="preserve"> </w:t>
      </w:r>
    </w:p>
    <w:p w14:paraId="5EA8444C" w14:textId="63459E77" w:rsidR="006141BA" w:rsidRPr="00714E0A" w:rsidRDefault="006141BA" w:rsidP="006141BA">
      <w:pPr>
        <w:pStyle w:val="xmsonormal"/>
        <w:rPr>
          <w:color w:val="000000" w:themeColor="text1"/>
        </w:rPr>
      </w:pPr>
      <w:r w:rsidRPr="00714E0A">
        <w:rPr>
          <w:b/>
          <w:bCs/>
          <w:color w:val="000000" w:themeColor="text1"/>
        </w:rPr>
        <w:t xml:space="preserve">Shortlisting date: </w:t>
      </w:r>
      <w:r w:rsidR="00DA5100" w:rsidRPr="00714E0A">
        <w:rPr>
          <w:b/>
          <w:bCs/>
          <w:color w:val="000000" w:themeColor="text1"/>
        </w:rPr>
        <w:tab/>
      </w:r>
      <w:r w:rsidR="00DD792A" w:rsidRPr="00714E0A">
        <w:rPr>
          <w:b/>
          <w:bCs/>
          <w:color w:val="000000" w:themeColor="text1"/>
        </w:rPr>
        <w:t xml:space="preserve">Monday, </w:t>
      </w:r>
      <w:r w:rsidR="00326746" w:rsidRPr="00714E0A">
        <w:rPr>
          <w:b/>
          <w:bCs/>
          <w:color w:val="000000" w:themeColor="text1"/>
        </w:rPr>
        <w:t>25</w:t>
      </w:r>
      <w:r w:rsidR="00326746" w:rsidRPr="00714E0A">
        <w:rPr>
          <w:b/>
          <w:bCs/>
          <w:color w:val="000000" w:themeColor="text1"/>
          <w:vertAlign w:val="superscript"/>
        </w:rPr>
        <w:t>th</w:t>
      </w:r>
      <w:r w:rsidR="00326746" w:rsidRPr="00714E0A">
        <w:rPr>
          <w:b/>
          <w:bCs/>
          <w:color w:val="000000" w:themeColor="text1"/>
        </w:rPr>
        <w:t xml:space="preserve"> September 2023</w:t>
      </w:r>
    </w:p>
    <w:p w14:paraId="7850FF3B" w14:textId="041359D0" w:rsidR="006141BA" w:rsidRPr="00714E0A" w:rsidRDefault="006141BA" w:rsidP="006141BA">
      <w:pPr>
        <w:pStyle w:val="xmsonormal"/>
        <w:rPr>
          <w:b/>
          <w:bCs/>
          <w:color w:val="000000" w:themeColor="text1"/>
        </w:rPr>
      </w:pPr>
      <w:r w:rsidRPr="00714E0A">
        <w:rPr>
          <w:b/>
          <w:bCs/>
          <w:color w:val="000000" w:themeColor="text1"/>
        </w:rPr>
        <w:t xml:space="preserve">Interview date: </w:t>
      </w:r>
      <w:r w:rsidR="00DA5100" w:rsidRPr="00714E0A">
        <w:rPr>
          <w:b/>
          <w:bCs/>
          <w:color w:val="000000" w:themeColor="text1"/>
        </w:rPr>
        <w:tab/>
      </w:r>
      <w:r w:rsidR="00DD792A" w:rsidRPr="00714E0A">
        <w:rPr>
          <w:b/>
          <w:bCs/>
          <w:color w:val="000000" w:themeColor="text1"/>
        </w:rPr>
        <w:t xml:space="preserve">Tuesday </w:t>
      </w:r>
      <w:r w:rsidR="00326746" w:rsidRPr="00714E0A">
        <w:rPr>
          <w:b/>
          <w:bCs/>
          <w:color w:val="000000" w:themeColor="text1"/>
        </w:rPr>
        <w:t>26</w:t>
      </w:r>
      <w:r w:rsidR="00326746" w:rsidRPr="00714E0A">
        <w:rPr>
          <w:b/>
          <w:bCs/>
          <w:color w:val="000000" w:themeColor="text1"/>
          <w:vertAlign w:val="superscript"/>
        </w:rPr>
        <w:t>th</w:t>
      </w:r>
      <w:r w:rsidR="00326746" w:rsidRPr="00714E0A">
        <w:rPr>
          <w:b/>
          <w:bCs/>
          <w:color w:val="000000" w:themeColor="text1"/>
        </w:rPr>
        <w:t xml:space="preserve"> September 2023</w:t>
      </w:r>
    </w:p>
    <w:p w14:paraId="58D7E667" w14:textId="77777777" w:rsidR="00412760" w:rsidRPr="00714E0A" w:rsidRDefault="00412760" w:rsidP="006141BA">
      <w:pPr>
        <w:pStyle w:val="xmsonormal"/>
        <w:rPr>
          <w:b/>
          <w:bCs/>
          <w:color w:val="000000" w:themeColor="text1"/>
        </w:rPr>
      </w:pPr>
    </w:p>
    <w:p w14:paraId="565C82A7" w14:textId="5AF7BA48" w:rsidR="006141BA" w:rsidRPr="00714E0A" w:rsidRDefault="006141BA" w:rsidP="006141BA">
      <w:pPr>
        <w:pStyle w:val="xmsonormal"/>
        <w:rPr>
          <w:color w:val="000000" w:themeColor="text1"/>
        </w:rPr>
      </w:pPr>
    </w:p>
    <w:p w14:paraId="360D2333" w14:textId="77777777" w:rsidR="006141BA" w:rsidRPr="00714E0A" w:rsidRDefault="006141BA" w:rsidP="006141BA">
      <w:pPr>
        <w:pStyle w:val="xmsonormal"/>
        <w:rPr>
          <w:b/>
          <w:bCs/>
          <w:color w:val="000000" w:themeColor="text1"/>
        </w:rPr>
      </w:pPr>
      <w:r w:rsidRPr="00714E0A">
        <w:rPr>
          <w:b/>
          <w:bCs/>
          <w:color w:val="000000" w:themeColor="text1"/>
        </w:rPr>
        <w:t>We reserve the right to appoint before the closing date, therefore, we encourage early applications.</w:t>
      </w:r>
    </w:p>
    <w:p w14:paraId="310C2FE6" w14:textId="77777777" w:rsidR="006141BA" w:rsidRPr="00714E0A" w:rsidRDefault="006141BA" w:rsidP="006141BA">
      <w:pPr>
        <w:pStyle w:val="xmsonospacing"/>
        <w:jc w:val="both"/>
        <w:rPr>
          <w:color w:val="000000" w:themeColor="text1"/>
        </w:rPr>
      </w:pPr>
      <w:r w:rsidRPr="00714E0A">
        <w:rPr>
          <w:rFonts w:ascii="Calibri" w:hAnsi="Calibri" w:cs="Calibri"/>
          <w:color w:val="000000" w:themeColor="text1"/>
          <w:sz w:val="22"/>
          <w:szCs w:val="22"/>
          <w:lang w:val="en-US"/>
        </w:rPr>
        <w:t xml:space="preserve">Successful candidates will be subject to a fully Enhanced DBS check along with other relevant employment checks. </w:t>
      </w:r>
    </w:p>
    <w:p w14:paraId="3B965243" w14:textId="77777777" w:rsidR="006141BA" w:rsidRPr="00714E0A" w:rsidRDefault="006141BA" w:rsidP="006141BA">
      <w:pPr>
        <w:pStyle w:val="xmsonormal"/>
        <w:rPr>
          <w:color w:val="000000" w:themeColor="text1"/>
        </w:rPr>
      </w:pPr>
      <w:r w:rsidRPr="00714E0A">
        <w:rPr>
          <w:b/>
          <w:bCs/>
          <w:color w:val="000000" w:themeColor="text1"/>
          <w:lang w:val="en-US"/>
        </w:rPr>
        <w:t> </w:t>
      </w:r>
    </w:p>
    <w:p w14:paraId="684F3D3B" w14:textId="77777777" w:rsidR="006141BA" w:rsidRPr="00714E0A" w:rsidRDefault="006141BA">
      <w:pPr>
        <w:rPr>
          <w:color w:val="000000" w:themeColor="text1"/>
        </w:rPr>
      </w:pPr>
    </w:p>
    <w:sectPr w:rsidR="006141BA" w:rsidRPr="00714E0A" w:rsidSect="006141B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049C" w14:textId="77777777" w:rsidR="00391B36" w:rsidRDefault="00391B36" w:rsidP="006141BA">
      <w:pPr>
        <w:spacing w:after="0" w:line="240" w:lineRule="auto"/>
      </w:pPr>
      <w:r>
        <w:separator/>
      </w:r>
    </w:p>
  </w:endnote>
  <w:endnote w:type="continuationSeparator" w:id="0">
    <w:p w14:paraId="7E9F246F" w14:textId="77777777" w:rsidR="00391B36" w:rsidRDefault="00391B36"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EA5F" w14:textId="77777777" w:rsidR="00391B36" w:rsidRDefault="00391B36" w:rsidP="006141BA">
      <w:pPr>
        <w:spacing w:after="0" w:line="240" w:lineRule="auto"/>
      </w:pPr>
      <w:r>
        <w:separator/>
      </w:r>
    </w:p>
  </w:footnote>
  <w:footnote w:type="continuationSeparator" w:id="0">
    <w:p w14:paraId="7EEC19F7" w14:textId="77777777" w:rsidR="00391B36" w:rsidRDefault="00391B36"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8F0" w14:textId="7A52C84F" w:rsidR="006B4A02" w:rsidRDefault="006B4A02" w:rsidP="006141BA">
    <w:pPr>
      <w:pStyle w:val="Header"/>
      <w:jc w:val="center"/>
    </w:pPr>
    <w:r>
      <w:rPr>
        <w:noProof/>
      </w:rPr>
      <mc:AlternateContent>
        <mc:Choice Requires="wps">
          <w:drawing>
            <wp:inline distT="0" distB="0" distL="0" distR="0" wp14:anchorId="5C7C84FB" wp14:editId="54DB7A68">
              <wp:extent cx="304800" cy="304800"/>
              <wp:effectExtent l="0" t="0" r="0" b="0"/>
              <wp:docPr id="49796835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74C348"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B9973D" w14:textId="34E17BEE" w:rsidR="006B4A02" w:rsidRDefault="00103A4A" w:rsidP="006141BA">
    <w:pPr>
      <w:pStyle w:val="Header"/>
      <w:jc w:val="center"/>
    </w:pPr>
    <w:r w:rsidRPr="00103A4A">
      <w:rPr>
        <w:noProof/>
      </w:rPr>
      <w:drawing>
        <wp:anchor distT="0" distB="0" distL="114300" distR="114300" simplePos="0" relativeHeight="251658240" behindDoc="1" locked="0" layoutInCell="1" allowOverlap="1" wp14:anchorId="17DFB624" wp14:editId="31813979">
          <wp:simplePos x="0" y="0"/>
          <wp:positionH relativeFrom="column">
            <wp:posOffset>160020</wp:posOffset>
          </wp:positionH>
          <wp:positionV relativeFrom="paragraph">
            <wp:posOffset>140335</wp:posOffset>
          </wp:positionV>
          <wp:extent cx="868680" cy="677545"/>
          <wp:effectExtent l="0" t="0" r="7620" b="8255"/>
          <wp:wrapTight wrapText="bothSides">
            <wp:wrapPolygon edited="0">
              <wp:start x="0" y="0"/>
              <wp:lineTo x="0" y="21256"/>
              <wp:lineTo x="21316" y="21256"/>
              <wp:lineTo x="21316" y="0"/>
              <wp:lineTo x="0" y="0"/>
            </wp:wrapPolygon>
          </wp:wrapTight>
          <wp:docPr id="1080684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67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A02">
      <w:rPr>
        <w:noProof/>
      </w:rPr>
      <mc:AlternateContent>
        <mc:Choice Requires="wps">
          <w:drawing>
            <wp:inline distT="0" distB="0" distL="0" distR="0" wp14:anchorId="5E0D41EA" wp14:editId="4C5757A7">
              <wp:extent cx="304800" cy="304800"/>
              <wp:effectExtent l="0" t="0" r="0" b="0"/>
              <wp:docPr id="37631462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2F2B8"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EAD5A9" w14:textId="78CB935E"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05418FC"/>
    <w:multiLevelType w:val="hybridMultilevel"/>
    <w:tmpl w:val="59769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59429311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481"/>
    <w:rsid w:val="00074CC1"/>
    <w:rsid w:val="000857A2"/>
    <w:rsid w:val="00094E15"/>
    <w:rsid w:val="000C7D22"/>
    <w:rsid w:val="000F2DF4"/>
    <w:rsid w:val="00103A4A"/>
    <w:rsid w:val="00163D19"/>
    <w:rsid w:val="00163FF4"/>
    <w:rsid w:val="001C665F"/>
    <w:rsid w:val="001F0194"/>
    <w:rsid w:val="002237B5"/>
    <w:rsid w:val="002E372F"/>
    <w:rsid w:val="002E4EDE"/>
    <w:rsid w:val="00301FEB"/>
    <w:rsid w:val="00326746"/>
    <w:rsid w:val="00345D1C"/>
    <w:rsid w:val="00354290"/>
    <w:rsid w:val="00391B36"/>
    <w:rsid w:val="00412760"/>
    <w:rsid w:val="00436F2A"/>
    <w:rsid w:val="004B1316"/>
    <w:rsid w:val="004C36A6"/>
    <w:rsid w:val="004F67E4"/>
    <w:rsid w:val="004F6F3C"/>
    <w:rsid w:val="005674B7"/>
    <w:rsid w:val="005B550C"/>
    <w:rsid w:val="005D32A0"/>
    <w:rsid w:val="005E1CA7"/>
    <w:rsid w:val="005E5109"/>
    <w:rsid w:val="005F51E7"/>
    <w:rsid w:val="006141BA"/>
    <w:rsid w:val="0061506D"/>
    <w:rsid w:val="00616306"/>
    <w:rsid w:val="00635F5B"/>
    <w:rsid w:val="006B4A02"/>
    <w:rsid w:val="00714E0A"/>
    <w:rsid w:val="007609B1"/>
    <w:rsid w:val="007901D9"/>
    <w:rsid w:val="00795CD5"/>
    <w:rsid w:val="00820CFA"/>
    <w:rsid w:val="00820E31"/>
    <w:rsid w:val="00893B49"/>
    <w:rsid w:val="008E4C35"/>
    <w:rsid w:val="008F4B7E"/>
    <w:rsid w:val="0090533D"/>
    <w:rsid w:val="00910191"/>
    <w:rsid w:val="00922DC1"/>
    <w:rsid w:val="00957261"/>
    <w:rsid w:val="009C79AA"/>
    <w:rsid w:val="00A028CD"/>
    <w:rsid w:val="00A0710B"/>
    <w:rsid w:val="00A56394"/>
    <w:rsid w:val="00A73913"/>
    <w:rsid w:val="00AA2297"/>
    <w:rsid w:val="00AA2D2D"/>
    <w:rsid w:val="00AB2A13"/>
    <w:rsid w:val="00B54BCE"/>
    <w:rsid w:val="00B76816"/>
    <w:rsid w:val="00B86804"/>
    <w:rsid w:val="00BF327B"/>
    <w:rsid w:val="00C16151"/>
    <w:rsid w:val="00C1624D"/>
    <w:rsid w:val="00C418C7"/>
    <w:rsid w:val="00CC0E3C"/>
    <w:rsid w:val="00D03463"/>
    <w:rsid w:val="00DA5100"/>
    <w:rsid w:val="00DA6BE4"/>
    <w:rsid w:val="00DD68CF"/>
    <w:rsid w:val="00DD792A"/>
    <w:rsid w:val="00DE4492"/>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7164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haw-education.org.uk/our-trust/key-inform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1" ma:contentTypeDescription="Create a new document." ma:contentTypeScope="" ma:versionID="6b23c605a91dee2b482bf8f9e2ba72b4">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d2e7ec362e87eefc3448a49cebafcac2"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9F6E3B-8BF2-4DA0-89C4-2E5421BA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23585-476B-47A1-8C91-922802ABA6E1}">
  <ds:schemaRefs>
    <ds:schemaRef ds:uri="http://schemas.microsoft.com/sharepoint/v3/contenttype/forms"/>
  </ds:schemaRefs>
</ds:datastoreItem>
</file>

<file path=customXml/itemProps3.xml><?xml version="1.0" encoding="utf-8"?>
<ds:datastoreItem xmlns:ds="http://schemas.openxmlformats.org/officeDocument/2006/customXml" ds:itemID="{6B7C2902-BDDF-4969-ABA5-3BB1FB02F4F0}">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1110</Words>
  <Characters>6332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2023-09-22T09:07:00Z</dcterms:created>
  <dcterms:modified xsi:type="dcterms:W3CDTF">2023-09-22T09:07:00Z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