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p>
    <w:p w:rsidR="0042669E" w:rsidRDefault="00EB1E29">
      <w:pPr>
        <w:pStyle w:val="BodyText"/>
        <w:spacing w:before="201"/>
        <w:ind w:left="214"/>
        <w:rPr>
          <w:noProof/>
          <w:lang w:val="en-GB" w:eastAsia="en-GB"/>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AD57C6">
        <w:rPr>
          <w:noProof/>
          <w:lang w:val="en-GB" w:eastAsia="en-GB"/>
        </w:rPr>
        <w:t>Geography</w:t>
      </w:r>
    </w:p>
    <w:p w:rsidR="0042669E" w:rsidRDefault="0042669E">
      <w:pPr>
        <w:rPr>
          <w:b/>
          <w:sz w:val="20"/>
        </w:rPr>
      </w:pPr>
    </w:p>
    <w:p w:rsidR="0042669E" w:rsidRDefault="0042669E">
      <w:pPr>
        <w:rPr>
          <w:b/>
          <w:sz w:val="20"/>
        </w:rPr>
      </w:pPr>
    </w:p>
    <w:p w:rsidR="0042669E" w:rsidRDefault="0042669E">
      <w:pPr>
        <w:rPr>
          <w:b/>
          <w:sz w:val="20"/>
        </w:rPr>
      </w:pPr>
    </w:p>
    <w:p w:rsidR="0042669E" w:rsidRDefault="0042669E">
      <w:pPr>
        <w:rPr>
          <w:b/>
          <w:sz w:val="20"/>
        </w:rPr>
      </w:pPr>
    </w:p>
    <w:p w:rsidR="0042669E" w:rsidRDefault="0042669E">
      <w:pPr>
        <w:spacing w:before="3"/>
        <w:rPr>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8789"/>
      </w:tblGrid>
      <w:tr w:rsidR="0042669E">
        <w:trPr>
          <w:trHeight w:val="268"/>
        </w:trPr>
        <w:tc>
          <w:tcPr>
            <w:tcW w:w="10486"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spacing w:val="-2"/>
              </w:rPr>
              <w:t>Salary:</w:t>
            </w:r>
          </w:p>
        </w:tc>
        <w:tc>
          <w:tcPr>
            <w:tcW w:w="8789" w:type="dxa"/>
          </w:tcPr>
          <w:p w:rsidR="0042669E" w:rsidRPr="00D50E0A" w:rsidRDefault="00475B24" w:rsidP="00475B24">
            <w:pPr>
              <w:pStyle w:val="TableParagraph"/>
              <w:ind w:left="0"/>
              <w:rPr>
                <w:rFonts w:asciiTheme="minorHAnsi" w:hAnsiTheme="minorHAnsi" w:cstheme="minorHAnsi"/>
                <w:b/>
              </w:rPr>
            </w:pPr>
            <w:r w:rsidRPr="00D50E0A">
              <w:rPr>
                <w:rFonts w:asciiTheme="minorHAnsi" w:hAnsiTheme="minorHAnsi" w:cstheme="minorHAnsi"/>
                <w:b/>
              </w:rPr>
              <w:t>MPS/UPS</w:t>
            </w:r>
          </w:p>
        </w:tc>
      </w:tr>
      <w:tr w:rsidR="0042669E" w:rsidRPr="00D50E0A">
        <w:trPr>
          <w:trHeight w:val="269"/>
        </w:trPr>
        <w:tc>
          <w:tcPr>
            <w:tcW w:w="1697" w:type="dxa"/>
          </w:tcPr>
          <w:p w:rsidR="0042669E" w:rsidRPr="00D50E0A" w:rsidRDefault="0072067E">
            <w:pPr>
              <w:pStyle w:val="TableParagraph"/>
              <w:spacing w:before="1" w:line="248" w:lineRule="exact"/>
              <w:rPr>
                <w:b/>
              </w:rPr>
            </w:pPr>
            <w:r>
              <w:rPr>
                <w:b/>
                <w:spacing w:val="-2"/>
              </w:rPr>
              <w:t>Contract Type</w:t>
            </w:r>
          </w:p>
        </w:tc>
        <w:tc>
          <w:tcPr>
            <w:tcW w:w="8789" w:type="dxa"/>
          </w:tcPr>
          <w:p w:rsidR="0042669E" w:rsidRPr="00D50E0A" w:rsidRDefault="0046352C" w:rsidP="00867439">
            <w:pPr>
              <w:pStyle w:val="TableParagraph"/>
              <w:ind w:left="0"/>
              <w:rPr>
                <w:rFonts w:asciiTheme="minorHAnsi" w:hAnsiTheme="minorHAnsi" w:cstheme="minorHAnsi"/>
                <w:b/>
              </w:rPr>
            </w:pPr>
            <w:r>
              <w:rPr>
                <w:rFonts w:asciiTheme="minorHAnsi" w:hAnsiTheme="minorHAnsi" w:cstheme="minorHAnsi"/>
                <w:b/>
              </w:rPr>
              <w:t>Permanent</w:t>
            </w:r>
            <w:r w:rsidR="00867439">
              <w:rPr>
                <w:rFonts w:asciiTheme="minorHAnsi" w:hAnsiTheme="minorHAnsi" w:cstheme="minorHAnsi"/>
                <w:b/>
              </w:rPr>
              <w:t>, Part</w:t>
            </w:r>
            <w:r w:rsidR="00AD57C6">
              <w:rPr>
                <w:rFonts w:asciiTheme="minorHAnsi" w:hAnsiTheme="minorHAnsi" w:cstheme="minorHAnsi"/>
                <w:b/>
              </w:rPr>
              <w:t>-time</w:t>
            </w:r>
            <w:r w:rsidR="0072067E">
              <w:rPr>
                <w:rFonts w:asciiTheme="minorHAnsi" w:hAnsiTheme="minorHAnsi" w:cstheme="minorHAnsi"/>
                <w:b/>
              </w:rPr>
              <w:t xml:space="preserve"> </w:t>
            </w:r>
            <w:r w:rsidR="00867439">
              <w:rPr>
                <w:rFonts w:asciiTheme="minorHAnsi" w:hAnsiTheme="minorHAnsi" w:cstheme="minorHAnsi"/>
                <w:b/>
              </w:rPr>
              <w:t>(0.6)</w:t>
            </w:r>
            <w:r w:rsidR="00E20B9D">
              <w:rPr>
                <w:rFonts w:asciiTheme="minorHAnsi" w:hAnsiTheme="minorHAnsi" w:cstheme="minorHAnsi"/>
                <w:b/>
              </w:rPr>
              <w:t xml:space="preserve"> </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spacing w:val="-2"/>
              </w:rPr>
              <w:t>Location:</w:t>
            </w:r>
          </w:p>
        </w:tc>
        <w:tc>
          <w:tcPr>
            <w:tcW w:w="8789" w:type="dxa"/>
          </w:tcPr>
          <w:p w:rsidR="0042669E" w:rsidRPr="00D50E0A" w:rsidRDefault="008B15FA">
            <w:pPr>
              <w:pStyle w:val="TableParagraph"/>
              <w:ind w:left="0"/>
              <w:rPr>
                <w:rFonts w:asciiTheme="minorHAnsi" w:hAnsiTheme="minorHAnsi" w:cstheme="minorHAnsi"/>
                <w:b/>
              </w:rPr>
            </w:pPr>
            <w:r w:rsidRPr="00D50E0A">
              <w:rPr>
                <w:rFonts w:asciiTheme="minorHAnsi" w:hAnsiTheme="minorHAnsi" w:cstheme="minorHAnsi"/>
                <w:b/>
              </w:rPr>
              <w:t xml:space="preserve">KEVI </w:t>
            </w:r>
            <w:proofErr w:type="spellStart"/>
            <w:r w:rsidRPr="00D50E0A">
              <w:rPr>
                <w:rFonts w:asciiTheme="minorHAnsi" w:hAnsiTheme="minorHAnsi" w:cstheme="minorHAnsi"/>
                <w:b/>
              </w:rPr>
              <w:t>Lordswood</w:t>
            </w:r>
            <w:proofErr w:type="spellEnd"/>
            <w:r w:rsidRPr="00D50E0A">
              <w:rPr>
                <w:rFonts w:asciiTheme="minorHAnsi" w:hAnsiTheme="minorHAnsi" w:cstheme="minorHAnsi"/>
                <w:b/>
              </w:rPr>
              <w:t xml:space="preserve"> School for Girls</w:t>
            </w:r>
            <w:r w:rsidR="00A66201" w:rsidRPr="00D50E0A">
              <w:rPr>
                <w:rFonts w:asciiTheme="minorHAnsi" w:hAnsiTheme="minorHAnsi" w:cstheme="minorHAnsi"/>
                <w:b/>
              </w:rPr>
              <w:t xml:space="preserve">, </w:t>
            </w:r>
            <w:proofErr w:type="spellStart"/>
            <w:r w:rsidR="00A66201" w:rsidRPr="00D50E0A">
              <w:rPr>
                <w:rFonts w:asciiTheme="minorHAnsi" w:hAnsiTheme="minorHAnsi" w:cstheme="minorHAnsi"/>
                <w:b/>
              </w:rPr>
              <w:t>Harborne</w:t>
            </w:r>
            <w:proofErr w:type="spellEnd"/>
            <w:r w:rsidR="00A66201" w:rsidRPr="00D50E0A">
              <w:rPr>
                <w:rFonts w:asciiTheme="minorHAnsi" w:hAnsiTheme="minorHAnsi" w:cstheme="minorHAnsi"/>
                <w:b/>
              </w:rPr>
              <w:t>, Birmingham B17 8QB</w:t>
            </w:r>
          </w:p>
        </w:tc>
      </w:tr>
      <w:tr w:rsidR="005A2E6F" w:rsidRPr="00D50E0A">
        <w:trPr>
          <w:trHeight w:val="268"/>
        </w:trPr>
        <w:tc>
          <w:tcPr>
            <w:tcW w:w="1697" w:type="dxa"/>
          </w:tcPr>
          <w:p w:rsidR="005A2E6F" w:rsidRPr="00D50E0A" w:rsidRDefault="005A2E6F">
            <w:pPr>
              <w:pStyle w:val="TableParagraph"/>
              <w:spacing w:line="248" w:lineRule="exact"/>
              <w:rPr>
                <w:b/>
              </w:rPr>
            </w:pPr>
            <w:r>
              <w:rPr>
                <w:b/>
              </w:rPr>
              <w:t>Start date:</w:t>
            </w:r>
          </w:p>
        </w:tc>
        <w:tc>
          <w:tcPr>
            <w:tcW w:w="8789" w:type="dxa"/>
          </w:tcPr>
          <w:p w:rsidR="005A2E6F" w:rsidRPr="00D50E0A" w:rsidRDefault="00AD57C6" w:rsidP="000D5958">
            <w:pPr>
              <w:pStyle w:val="TableParagraph"/>
              <w:ind w:left="0"/>
              <w:rPr>
                <w:rFonts w:asciiTheme="minorHAnsi" w:hAnsiTheme="minorHAnsi" w:cstheme="minorHAnsi"/>
                <w:b/>
              </w:rPr>
            </w:pPr>
            <w:r>
              <w:rPr>
                <w:rFonts w:asciiTheme="minorHAnsi" w:hAnsiTheme="minorHAnsi" w:cstheme="minorHAnsi"/>
                <w:b/>
              </w:rPr>
              <w:t>Easter</w:t>
            </w:r>
            <w:r w:rsidR="00316B2C">
              <w:rPr>
                <w:rFonts w:asciiTheme="minorHAnsi" w:hAnsiTheme="minorHAnsi" w:cstheme="minorHAnsi"/>
                <w:b/>
              </w:rPr>
              <w:t xml:space="preserve"> </w:t>
            </w:r>
            <w:r w:rsidR="0046352C">
              <w:rPr>
                <w:rFonts w:asciiTheme="minorHAnsi" w:hAnsiTheme="minorHAnsi" w:cstheme="minorHAnsi"/>
                <w:b/>
              </w:rPr>
              <w:t>2024</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rPr>
              <w:t>Closing</w:t>
            </w:r>
            <w:r w:rsidRPr="00D50E0A">
              <w:rPr>
                <w:b/>
                <w:spacing w:val="-9"/>
              </w:rPr>
              <w:t xml:space="preserve"> </w:t>
            </w:r>
            <w:r w:rsidRPr="00D50E0A">
              <w:rPr>
                <w:b/>
                <w:spacing w:val="-2"/>
              </w:rPr>
              <w:t>date:</w:t>
            </w:r>
          </w:p>
        </w:tc>
        <w:tc>
          <w:tcPr>
            <w:tcW w:w="8789" w:type="dxa"/>
          </w:tcPr>
          <w:p w:rsidR="0042669E" w:rsidRPr="00D50E0A" w:rsidRDefault="00F644F9" w:rsidP="00475677">
            <w:pPr>
              <w:pStyle w:val="TableParagraph"/>
              <w:ind w:left="0"/>
              <w:rPr>
                <w:rFonts w:asciiTheme="minorHAnsi" w:hAnsiTheme="minorHAnsi" w:cstheme="minorHAnsi"/>
                <w:b/>
              </w:rPr>
            </w:pPr>
            <w:r w:rsidRPr="00D50E0A">
              <w:rPr>
                <w:rFonts w:asciiTheme="minorHAnsi" w:hAnsiTheme="minorHAnsi" w:cstheme="minorHAnsi"/>
                <w:b/>
              </w:rPr>
              <w:t xml:space="preserve">Noon </w:t>
            </w:r>
            <w:r w:rsidR="00475677">
              <w:rPr>
                <w:rFonts w:asciiTheme="minorHAnsi" w:hAnsiTheme="minorHAnsi" w:cstheme="minorHAnsi"/>
                <w:b/>
              </w:rPr>
              <w:t>Monday 4</w:t>
            </w:r>
            <w:r w:rsidR="00475677" w:rsidRPr="00475677">
              <w:rPr>
                <w:rFonts w:asciiTheme="minorHAnsi" w:hAnsiTheme="minorHAnsi" w:cstheme="minorHAnsi"/>
                <w:b/>
                <w:vertAlign w:val="superscript"/>
              </w:rPr>
              <w:t>th</w:t>
            </w:r>
            <w:r w:rsidR="00475677">
              <w:rPr>
                <w:rFonts w:asciiTheme="minorHAnsi" w:hAnsiTheme="minorHAnsi" w:cstheme="minorHAnsi"/>
                <w:b/>
              </w:rPr>
              <w:t xml:space="preserve"> December 2023</w:t>
            </w:r>
          </w:p>
        </w:tc>
      </w:tr>
      <w:tr w:rsidR="00547B55" w:rsidTr="00F06346">
        <w:trPr>
          <w:trHeight w:val="284"/>
        </w:trPr>
        <w:tc>
          <w:tcPr>
            <w:tcW w:w="10486" w:type="dxa"/>
            <w:gridSpan w:val="2"/>
            <w:shd w:val="clear" w:color="auto" w:fill="69A6FF"/>
          </w:tcPr>
          <w:p w:rsidR="00547B55" w:rsidRDefault="00547B55" w:rsidP="00F06346">
            <w:pPr>
              <w:pStyle w:val="TableParagraph"/>
              <w:spacing w:before="1" w:line="262" w:lineRule="exact"/>
              <w:rPr>
                <w:b/>
              </w:rPr>
            </w:pPr>
            <w:r>
              <w:rPr>
                <w:b/>
              </w:rPr>
              <w:t xml:space="preserve"> </w:t>
            </w:r>
          </w:p>
        </w:tc>
      </w:tr>
      <w:tr w:rsidR="0042669E" w:rsidTr="00475677">
        <w:trPr>
          <w:trHeight w:val="268"/>
        </w:trPr>
        <w:tc>
          <w:tcPr>
            <w:tcW w:w="10486" w:type="dxa"/>
            <w:gridSpan w:val="2"/>
            <w:shd w:val="clear" w:color="auto" w:fill="FFFFFF" w:themeFill="background1"/>
          </w:tcPr>
          <w:p w:rsidR="00475677" w:rsidRPr="00475677" w:rsidRDefault="00475677" w:rsidP="00475677">
            <w:pPr>
              <w:pStyle w:val="TableParagraph"/>
              <w:rPr>
                <w:b/>
              </w:rPr>
            </w:pPr>
            <w:r w:rsidRPr="00475677">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475677" w:rsidRPr="00475677" w:rsidRDefault="00475677" w:rsidP="00475677">
            <w:pPr>
              <w:pStyle w:val="TableParagraph"/>
              <w:rPr>
                <w:b/>
              </w:rPr>
            </w:pPr>
          </w:p>
          <w:p w:rsidR="00475677" w:rsidRPr="00475677" w:rsidRDefault="00475677" w:rsidP="00547B55">
            <w:pPr>
              <w:pStyle w:val="TableParagraph"/>
              <w:rPr>
                <w:b/>
              </w:rPr>
            </w:pPr>
            <w:r w:rsidRPr="00475677">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w:t>
            </w:r>
            <w:r>
              <w:rPr>
                <w:b/>
              </w:rPr>
              <w:t xml:space="preserve">f, sex, or sexual orientation. </w:t>
            </w:r>
          </w:p>
        </w:tc>
      </w:tr>
      <w:tr w:rsidR="00475677" w:rsidTr="00F06346">
        <w:trPr>
          <w:trHeight w:val="284"/>
        </w:trPr>
        <w:tc>
          <w:tcPr>
            <w:tcW w:w="10486" w:type="dxa"/>
            <w:gridSpan w:val="2"/>
            <w:shd w:val="clear" w:color="auto" w:fill="69A6FF"/>
          </w:tcPr>
          <w:p w:rsidR="00475677" w:rsidRDefault="00475677" w:rsidP="00F06346">
            <w:pPr>
              <w:pStyle w:val="TableParagraph"/>
              <w:spacing w:before="1" w:line="262" w:lineRule="exact"/>
              <w:rPr>
                <w:b/>
              </w:rPr>
            </w:pPr>
            <w:r w:rsidRPr="00475677">
              <w:rPr>
                <w:b/>
              </w:rPr>
              <w:t>About the Academy Trust</w:t>
            </w:r>
          </w:p>
        </w:tc>
      </w:tr>
      <w:tr w:rsidR="0042669E" w:rsidTr="00B24631">
        <w:trPr>
          <w:trHeight w:val="845"/>
        </w:trPr>
        <w:tc>
          <w:tcPr>
            <w:tcW w:w="10486" w:type="dxa"/>
            <w:gridSpan w:val="2"/>
          </w:tcPr>
          <w:p w:rsidR="0042669E" w:rsidRDefault="00EB1E29" w:rsidP="00B24631">
            <w:pPr>
              <w:pStyle w:val="TableParagraph"/>
              <w:ind w:right="97"/>
              <w:jc w:val="both"/>
            </w:pPr>
            <w:r>
              <w:t xml:space="preserve">The King Edward VI Foundation, Birmingham, is a progressive charitable </w:t>
            </w:r>
            <w:proofErr w:type="spellStart"/>
            <w:r>
              <w:t>organisation</w:t>
            </w:r>
            <w:proofErr w:type="spellEnd"/>
            <w:r>
              <w:t xml:space="preserve">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Our Academy Trust currently consists of two independent schools, six selective, and five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 xml:space="preserve">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w:t>
            </w:r>
            <w:proofErr w:type="spellStart"/>
            <w:r w:rsidRPr="00B24631">
              <w:rPr>
                <w:rFonts w:ascii="Calibri" w:hAnsi="Calibri" w:cs="Calibri"/>
                <w:sz w:val="22"/>
                <w:szCs w:val="22"/>
              </w:rPr>
              <w:t>Harborne</w:t>
            </w:r>
            <w:proofErr w:type="spellEnd"/>
            <w:r w:rsidRPr="00B24631">
              <w:rPr>
                <w:rFonts w:ascii="Calibri" w:hAnsi="Calibri" w:cs="Calibri"/>
                <w:sz w:val="22"/>
                <w:szCs w:val="22"/>
              </w:rPr>
              <w:t xml:space="preserve">, offers an excellent academic education within a happy and </w:t>
            </w: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purposeful</w:t>
            </w:r>
            <w:proofErr w:type="gramEnd"/>
            <w:r w:rsidRPr="00B24631">
              <w:rPr>
                <w:rFonts w:ascii="Calibri" w:hAnsi="Calibri" w:cs="Calibri"/>
                <w:sz w:val="22"/>
                <w:szCs w:val="22"/>
              </w:rPr>
              <w:t xml:space="preserve"> community. High quality teaching, firm discipline, and valuing each individual are central to our exciting</w:t>
            </w: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Pr="00B24631">
              <w:rPr>
                <w:rFonts w:ascii="Calibri" w:hAnsi="Calibri" w:cs="Calibri"/>
                <w:sz w:val="22"/>
                <w:szCs w:val="22"/>
              </w:rPr>
              <w:t xml:space="preserve"> </w:t>
            </w:r>
            <w:proofErr w:type="gramStart"/>
            <w:r w:rsidRPr="00B24631">
              <w:rPr>
                <w:rFonts w:ascii="Calibri" w:hAnsi="Calibri" w:cs="Calibri"/>
                <w:sz w:val="22"/>
                <w:szCs w:val="22"/>
              </w:rPr>
              <w:t>approach</w:t>
            </w:r>
            <w:proofErr w:type="gramEnd"/>
            <w:r w:rsidRPr="00B24631">
              <w:rPr>
                <w:rFonts w:ascii="Calibri" w:hAnsi="Calibri" w:cs="Calibri"/>
                <w:sz w:val="22"/>
                <w:szCs w:val="22"/>
              </w:rPr>
              <w:t xml:space="preserve"> to pre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Student outcomes place us in the highest category of schools nationally, 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P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King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F72C6B" w:rsidRDefault="00547B55" w:rsidP="00AD57C6">
            <w:pPr>
              <w:ind w:firstLine="149"/>
              <w:rPr>
                <w:bCs/>
              </w:rPr>
            </w:pPr>
            <w:r>
              <w:rPr>
                <w:rFonts w:asciiTheme="minorHAnsi" w:hAnsiTheme="minorHAnsi" w:cstheme="minorHAnsi"/>
                <w:bCs/>
              </w:rPr>
              <w:t>W</w:t>
            </w:r>
            <w:r w:rsidR="00F644F9">
              <w:rPr>
                <w:bCs/>
              </w:rPr>
              <w:t xml:space="preserve">e are now </w:t>
            </w:r>
            <w:r w:rsidR="00F644F9" w:rsidRPr="00620613">
              <w:rPr>
                <w:bCs/>
              </w:rPr>
              <w:t xml:space="preserve">looking to appoint </w:t>
            </w:r>
            <w:r w:rsidR="002C2B92">
              <w:rPr>
                <w:bCs/>
              </w:rPr>
              <w:t xml:space="preserve">an excellent Teacher of </w:t>
            </w:r>
            <w:r w:rsidR="00AD57C6">
              <w:rPr>
                <w:bCs/>
              </w:rPr>
              <w:t>Geography</w:t>
            </w:r>
            <w:r w:rsidR="00903011">
              <w:rPr>
                <w:bCs/>
              </w:rPr>
              <w:t xml:space="preserve"> who </w:t>
            </w:r>
            <w:r w:rsidR="00AD57C6">
              <w:rPr>
                <w:bCs/>
              </w:rPr>
              <w:t>can teach the subject to KS</w:t>
            </w:r>
            <w:r w:rsidR="00F72C6B">
              <w:rPr>
                <w:bCs/>
              </w:rPr>
              <w:t>4, and it would</w:t>
            </w:r>
          </w:p>
          <w:p w:rsidR="00F72C6B" w:rsidRDefault="008C62CA" w:rsidP="00F72C6B">
            <w:pPr>
              <w:ind w:firstLine="149"/>
              <w:rPr>
                <w:bCs/>
              </w:rPr>
            </w:pPr>
            <w:proofErr w:type="gramStart"/>
            <w:r>
              <w:rPr>
                <w:bCs/>
              </w:rPr>
              <w:t>b</w:t>
            </w:r>
            <w:r w:rsidR="00F72C6B">
              <w:rPr>
                <w:bCs/>
              </w:rPr>
              <w:t>e</w:t>
            </w:r>
            <w:proofErr w:type="gramEnd"/>
            <w:r w:rsidR="00F72C6B">
              <w:rPr>
                <w:bCs/>
              </w:rPr>
              <w:t xml:space="preserve"> advantageous </w:t>
            </w:r>
            <w:r>
              <w:rPr>
                <w:bCs/>
              </w:rPr>
              <w:t>if able</w:t>
            </w:r>
            <w:r w:rsidR="00F72C6B">
              <w:rPr>
                <w:bCs/>
              </w:rPr>
              <w:t xml:space="preserve"> to</w:t>
            </w:r>
            <w:r>
              <w:rPr>
                <w:bCs/>
              </w:rPr>
              <w:t xml:space="preserve"> teach to</w:t>
            </w:r>
            <w:r w:rsidR="00F72C6B">
              <w:rPr>
                <w:bCs/>
              </w:rPr>
              <w:t xml:space="preserve"> ‘A’ level standard.  The successful candidate will be </w:t>
            </w:r>
            <w:r w:rsidR="00903011">
              <w:rPr>
                <w:bCs/>
              </w:rPr>
              <w:t xml:space="preserve">passionate about their </w:t>
            </w:r>
          </w:p>
          <w:p w:rsidR="002C2B92" w:rsidRDefault="00903011" w:rsidP="00F72C6B">
            <w:pPr>
              <w:ind w:firstLine="149"/>
              <w:rPr>
                <w:bCs/>
              </w:rPr>
            </w:pPr>
            <w:proofErr w:type="gramStart"/>
            <w:r>
              <w:rPr>
                <w:bCs/>
              </w:rPr>
              <w:t>subject</w:t>
            </w:r>
            <w:proofErr w:type="gramEnd"/>
            <w:r>
              <w:rPr>
                <w:bCs/>
              </w:rPr>
              <w:t xml:space="preserve"> area and able</w:t>
            </w:r>
            <w:r w:rsidR="00AD57C6">
              <w:rPr>
                <w:bCs/>
              </w:rPr>
              <w:t xml:space="preserve"> </w:t>
            </w:r>
            <w:r>
              <w:rPr>
                <w:bCs/>
              </w:rPr>
              <w:t xml:space="preserve">to inspire all students to reach their full potential.  </w:t>
            </w:r>
            <w:r w:rsidR="00AD57C6">
              <w:rPr>
                <w:bCs/>
              </w:rPr>
              <w:t xml:space="preserve"> </w:t>
            </w:r>
            <w:r w:rsidR="00F72C6B">
              <w:rPr>
                <w:bCs/>
              </w:rPr>
              <w:t xml:space="preserve"> </w:t>
            </w:r>
          </w:p>
          <w:p w:rsidR="00F72C6B" w:rsidRDefault="00F72C6B" w:rsidP="00F72C6B">
            <w:pPr>
              <w:ind w:firstLine="149"/>
              <w:rPr>
                <w:bCs/>
              </w:rPr>
            </w:pPr>
            <w:bookmarkStart w:id="0" w:name="_GoBack"/>
            <w:bookmarkEnd w:id="0"/>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 xml:space="preserve">development </w:t>
            </w:r>
            <w:proofErr w:type="spellStart"/>
            <w:r w:rsidR="00F644F9" w:rsidRPr="00620613">
              <w:rPr>
                <w:rFonts w:eastAsia="Arial"/>
              </w:rPr>
              <w:t>programme</w:t>
            </w:r>
            <w:proofErr w:type="spellEnd"/>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03011" w:rsidRPr="00F644F9" w:rsidRDefault="00D50E0A" w:rsidP="002C2B92">
            <w:pPr>
              <w:rPr>
                <w:rFonts w:eastAsia="Arial"/>
              </w:rPr>
            </w:pPr>
            <w:r>
              <w:rPr>
                <w:rFonts w:eastAsia="Arial"/>
              </w:rPr>
              <w:t xml:space="preserve">  </w:t>
            </w:r>
            <w:proofErr w:type="gramStart"/>
            <w:r>
              <w:rPr>
                <w:rFonts w:eastAsia="Arial"/>
              </w:rPr>
              <w:t>email</w:t>
            </w:r>
            <w:proofErr w:type="gramEnd"/>
            <w:r>
              <w:rPr>
                <w:rFonts w:eastAsia="Arial"/>
              </w:rPr>
              <w:t xml:space="preserve">, </w:t>
            </w:r>
            <w:hyperlink r:id="rId5" w:history="1">
              <w:r w:rsidRPr="00A56B6F">
                <w:rPr>
                  <w:rStyle w:val="Hyperlink"/>
                  <w:rFonts w:eastAsia="Arial"/>
                </w:rPr>
                <w:t>s.allport@lsg.kevibham.org</w:t>
              </w:r>
            </w:hyperlink>
            <w:r w:rsidR="002C2B92">
              <w:rPr>
                <w:rFonts w:eastAsia="Arial"/>
              </w:rPr>
              <w:t>.</w:t>
            </w:r>
          </w:p>
        </w:tc>
      </w:tr>
      <w:tr w:rsidR="0042669E">
        <w:trPr>
          <w:trHeight w:val="284"/>
        </w:trPr>
        <w:tc>
          <w:tcPr>
            <w:tcW w:w="10486"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A66201">
        <w:trPr>
          <w:trHeight w:val="770"/>
        </w:trPr>
        <w:tc>
          <w:tcPr>
            <w:tcW w:w="10486" w:type="dxa"/>
            <w:gridSpan w:val="2"/>
          </w:tcPr>
          <w:p w:rsidR="00A66201" w:rsidRDefault="00EB1E29" w:rsidP="00A66201">
            <w:pPr>
              <w:pStyle w:val="TableParagraph"/>
              <w:spacing w:before="1"/>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t>post,</w:t>
            </w:r>
            <w:r>
              <w:rPr>
                <w:spacing w:val="-3"/>
              </w:rPr>
              <w:t xml:space="preserve">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A66201">
            <w:pPr>
              <w:pStyle w:val="TableParagraph"/>
              <w:spacing w:before="1"/>
              <w:ind w:right="647"/>
            </w:pPr>
          </w:p>
          <w:p w:rsidR="00A66201" w:rsidRDefault="00A66201" w:rsidP="00475677">
            <w:pPr>
              <w:pStyle w:val="TableParagraph"/>
              <w:spacing w:before="1"/>
              <w:ind w:right="647"/>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F644F9" w:rsidRPr="004C6408">
              <w:rPr>
                <w:b/>
              </w:rPr>
              <w:t xml:space="preserve">Noon on </w:t>
            </w:r>
            <w:r w:rsidR="00475677">
              <w:rPr>
                <w:b/>
              </w:rPr>
              <w:t>Monday 4</w:t>
            </w:r>
            <w:r w:rsidR="00475677" w:rsidRPr="00475677">
              <w:rPr>
                <w:b/>
                <w:vertAlign w:val="superscript"/>
              </w:rPr>
              <w:t>th</w:t>
            </w:r>
            <w:r w:rsidR="00475677">
              <w:rPr>
                <w:b/>
              </w:rPr>
              <w:t xml:space="preserve"> December</w:t>
            </w:r>
            <w:r w:rsidR="004C6408" w:rsidRPr="004C6408">
              <w:rPr>
                <w:b/>
              </w:rPr>
              <w:t xml:space="preserve"> 2023.</w:t>
            </w:r>
            <w:r w:rsidR="00A909EE">
              <w:t xml:space="preserve"> </w:t>
            </w:r>
          </w:p>
        </w:tc>
      </w:tr>
      <w:tr w:rsidR="0042669E">
        <w:trPr>
          <w:trHeight w:val="284"/>
        </w:trPr>
        <w:tc>
          <w:tcPr>
            <w:tcW w:w="10486" w:type="dxa"/>
            <w:gridSpan w:val="2"/>
            <w:shd w:val="clear" w:color="auto" w:fill="D4DCE3"/>
          </w:tcPr>
          <w:p w:rsidR="0042669E" w:rsidRDefault="0042669E">
            <w:pPr>
              <w:pStyle w:val="TableParagraph"/>
              <w:ind w:left="0"/>
              <w:rPr>
                <w:rFonts w:ascii="Times New Roman"/>
                <w:sz w:val="20"/>
              </w:rPr>
            </w:pPr>
          </w:p>
        </w:tc>
      </w:tr>
      <w:tr w:rsidR="0042669E" w:rsidRPr="00475677">
        <w:trPr>
          <w:trHeight w:val="1880"/>
        </w:trPr>
        <w:tc>
          <w:tcPr>
            <w:tcW w:w="10486" w:type="dxa"/>
            <w:gridSpan w:val="2"/>
          </w:tcPr>
          <w:p w:rsidR="0042669E" w:rsidRPr="00475677" w:rsidRDefault="00EB1E2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42669E" w:rsidRPr="00475677" w:rsidRDefault="00EB1E2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42669E" w:rsidRPr="00475677" w:rsidRDefault="00EB1E29">
            <w:pPr>
              <w:pStyle w:val="TableParagraph"/>
              <w:spacing w:line="248" w:lineRule="exact"/>
              <w:ind w:left="145" w:right="139"/>
              <w:jc w:val="center"/>
              <w:rPr>
                <w:b/>
                <w:i/>
              </w:rPr>
            </w:pPr>
            <w:r w:rsidRPr="00475677">
              <w:rPr>
                <w:b/>
                <w:i/>
              </w:rPr>
              <w:t>CHARITY</w:t>
            </w:r>
            <w:r w:rsidRPr="00475677">
              <w:rPr>
                <w:b/>
                <w:i/>
                <w:spacing w:val="-11"/>
              </w:rPr>
              <w:t xml:space="preserve"> </w:t>
            </w:r>
            <w:r w:rsidRPr="00475677">
              <w:rPr>
                <w:b/>
                <w:i/>
              </w:rPr>
              <w:t>NUMBER:</w:t>
            </w:r>
            <w:r w:rsidRPr="00475677">
              <w:rPr>
                <w:b/>
                <w:i/>
                <w:spacing w:val="-12"/>
              </w:rPr>
              <w:t xml:space="preserve"> </w:t>
            </w:r>
            <w:r w:rsidRPr="00475677">
              <w:rPr>
                <w:b/>
                <w:i/>
                <w:spacing w:val="-2"/>
              </w:rPr>
              <w:t>529051</w:t>
            </w:r>
          </w:p>
        </w:tc>
      </w:tr>
    </w:tbl>
    <w:p w:rsidR="00644A54" w:rsidRPr="00475677" w:rsidRDefault="00644A54">
      <w:pPr>
        <w:rPr>
          <w:b/>
        </w:rPr>
      </w:pPr>
    </w:p>
    <w:sectPr w:rsidR="00644A54" w:rsidRPr="00475677">
      <w:type w:val="continuous"/>
      <w:pgSz w:w="11910" w:h="16840"/>
      <w:pgMar w:top="360" w:right="4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D5958"/>
    <w:rsid w:val="002C2B92"/>
    <w:rsid w:val="00316B2C"/>
    <w:rsid w:val="0042669E"/>
    <w:rsid w:val="0046352C"/>
    <w:rsid w:val="00475677"/>
    <w:rsid w:val="00475B24"/>
    <w:rsid w:val="004C6408"/>
    <w:rsid w:val="00547B55"/>
    <w:rsid w:val="005630AE"/>
    <w:rsid w:val="005A2E6F"/>
    <w:rsid w:val="00644A54"/>
    <w:rsid w:val="0072067E"/>
    <w:rsid w:val="00867439"/>
    <w:rsid w:val="008B15FA"/>
    <w:rsid w:val="008C62CA"/>
    <w:rsid w:val="00903011"/>
    <w:rsid w:val="00A66201"/>
    <w:rsid w:val="00A909EE"/>
    <w:rsid w:val="00AD57C6"/>
    <w:rsid w:val="00AF2745"/>
    <w:rsid w:val="00B24631"/>
    <w:rsid w:val="00C12911"/>
    <w:rsid w:val="00C55154"/>
    <w:rsid w:val="00CE6DD9"/>
    <w:rsid w:val="00D50E0A"/>
    <w:rsid w:val="00E20B9D"/>
    <w:rsid w:val="00EA04E6"/>
    <w:rsid w:val="00EA385E"/>
    <w:rsid w:val="00EB1E29"/>
    <w:rsid w:val="00EC4D6F"/>
    <w:rsid w:val="00F465A1"/>
    <w:rsid w:val="00F644F9"/>
    <w:rsid w:val="00F72C6B"/>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CEF7"/>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7B5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dc:description/>
  <cp:lastModifiedBy>Sheila Allport</cp:lastModifiedBy>
  <cp:revision>2</cp:revision>
  <cp:lastPrinted>2023-11-20T09:29:00Z</cp:lastPrinted>
  <dcterms:created xsi:type="dcterms:W3CDTF">2023-11-21T08:59:00Z</dcterms:created>
  <dcterms:modified xsi:type="dcterms:W3CDTF">2023-11-21T08:59:00Z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