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F26A" w14:textId="77777777" w:rsidR="005C6C4E" w:rsidRDefault="005C6C4E" w:rsidP="005C6C4E">
      <w:pPr>
        <w:jc w:val="center"/>
        <w:rPr>
          <w:rFonts w:ascii="Arial" w:hAnsi="Arial" w:cs="Arial"/>
          <w:b/>
          <w:sz w:val="22"/>
          <w:szCs w:val="22"/>
          <w:u w:val="single"/>
        </w:rPr>
      </w:pPr>
    </w:p>
    <w:p w14:paraId="44133989" w14:textId="1416C486" w:rsidR="005C6C4E" w:rsidRPr="005C6C4E" w:rsidRDefault="005C6C4E" w:rsidP="005C6C4E">
      <w:pPr>
        <w:jc w:val="center"/>
        <w:rPr>
          <w:rFonts w:ascii="Arial" w:hAnsi="Arial" w:cs="Arial"/>
          <w:b/>
          <w:sz w:val="22"/>
          <w:szCs w:val="22"/>
        </w:rPr>
      </w:pPr>
      <w:r w:rsidRPr="005C6C4E">
        <w:rPr>
          <w:rFonts w:ascii="Arial" w:hAnsi="Arial" w:cs="Arial"/>
          <w:b/>
          <w:sz w:val="22"/>
          <w:szCs w:val="22"/>
        </w:rPr>
        <w:t>JOB DESCRIPTION</w:t>
      </w:r>
    </w:p>
    <w:p w14:paraId="40498DB2" w14:textId="77777777" w:rsidR="006D2B4C" w:rsidRDefault="006D2B4C" w:rsidP="006D2B4C">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6D2B4C" w:rsidRPr="00726B14" w14:paraId="7A7BF66D" w14:textId="77777777" w:rsidTr="005C6C4E">
        <w:tc>
          <w:tcPr>
            <w:tcW w:w="2694" w:type="dxa"/>
          </w:tcPr>
          <w:p w14:paraId="60CDC62C" w14:textId="77777777" w:rsidR="006D2B4C" w:rsidRPr="00726B14" w:rsidRDefault="006D2B4C" w:rsidP="0062131C">
            <w:pPr>
              <w:rPr>
                <w:rFonts w:ascii="Arial" w:hAnsi="Arial" w:cs="Arial"/>
                <w:sz w:val="22"/>
                <w:szCs w:val="22"/>
              </w:rPr>
            </w:pPr>
            <w:r w:rsidRPr="00726B14">
              <w:rPr>
                <w:rFonts w:ascii="Arial" w:hAnsi="Arial" w:cs="Arial"/>
                <w:sz w:val="22"/>
                <w:szCs w:val="22"/>
              </w:rPr>
              <w:t>Post Title:</w:t>
            </w:r>
          </w:p>
        </w:tc>
        <w:tc>
          <w:tcPr>
            <w:tcW w:w="7371" w:type="dxa"/>
          </w:tcPr>
          <w:p w14:paraId="51385E06" w14:textId="1840434F" w:rsidR="006D2B4C" w:rsidRPr="00726B14" w:rsidRDefault="00227E70" w:rsidP="0062131C">
            <w:pPr>
              <w:rPr>
                <w:rFonts w:ascii="Arial" w:hAnsi="Arial" w:cs="Arial"/>
                <w:sz w:val="22"/>
                <w:szCs w:val="22"/>
              </w:rPr>
            </w:pPr>
            <w:r w:rsidRPr="00227E70">
              <w:rPr>
                <w:rFonts w:ascii="Arial" w:hAnsi="Arial" w:cs="Arial"/>
                <w:sz w:val="22"/>
                <w:szCs w:val="22"/>
              </w:rPr>
              <w:t xml:space="preserve">Teacher of </w:t>
            </w:r>
            <w:r w:rsidR="005E70CA" w:rsidRPr="005E70CA">
              <w:rPr>
                <w:rFonts w:ascii="Arial" w:hAnsi="Arial" w:cs="Arial"/>
                <w:sz w:val="22"/>
                <w:szCs w:val="22"/>
              </w:rPr>
              <w:t>ICT and Computer Science</w:t>
            </w:r>
          </w:p>
        </w:tc>
      </w:tr>
      <w:tr w:rsidR="006D2B4C" w:rsidRPr="00726B14" w14:paraId="2AB71DFA" w14:textId="77777777" w:rsidTr="005C6C4E">
        <w:tc>
          <w:tcPr>
            <w:tcW w:w="2694" w:type="dxa"/>
          </w:tcPr>
          <w:p w14:paraId="00A9A32C" w14:textId="77777777" w:rsidR="006D2B4C" w:rsidRPr="00D93C4D" w:rsidRDefault="006D2B4C" w:rsidP="0062131C">
            <w:pPr>
              <w:rPr>
                <w:rFonts w:ascii="Arial" w:hAnsi="Arial" w:cs="Arial"/>
                <w:sz w:val="22"/>
                <w:szCs w:val="22"/>
              </w:rPr>
            </w:pPr>
            <w:r w:rsidRPr="00D93C4D">
              <w:rPr>
                <w:rFonts w:ascii="Arial" w:hAnsi="Arial" w:cs="Arial"/>
                <w:sz w:val="22"/>
                <w:szCs w:val="22"/>
              </w:rPr>
              <w:t>Accountable To:</w:t>
            </w:r>
          </w:p>
        </w:tc>
        <w:tc>
          <w:tcPr>
            <w:tcW w:w="7371" w:type="dxa"/>
          </w:tcPr>
          <w:p w14:paraId="06E56DEF" w14:textId="094D5845" w:rsidR="006D2B4C" w:rsidRPr="00D93C4D" w:rsidRDefault="00227E70" w:rsidP="0062131C">
            <w:pPr>
              <w:rPr>
                <w:rFonts w:ascii="Arial" w:hAnsi="Arial" w:cs="Arial"/>
                <w:sz w:val="22"/>
                <w:szCs w:val="22"/>
              </w:rPr>
            </w:pPr>
            <w:r w:rsidRPr="00D93C4D">
              <w:rPr>
                <w:rFonts w:ascii="Arial" w:hAnsi="Arial" w:cs="Arial"/>
                <w:sz w:val="22"/>
                <w:szCs w:val="22"/>
                <w:lang w:val="en-GB"/>
              </w:rPr>
              <w:t xml:space="preserve">Curriculum Leader: </w:t>
            </w:r>
            <w:r w:rsidR="005E70CA" w:rsidRPr="005E70CA">
              <w:rPr>
                <w:rFonts w:ascii="Arial" w:hAnsi="Arial" w:cs="Arial"/>
                <w:sz w:val="22"/>
                <w:szCs w:val="22"/>
              </w:rPr>
              <w:t>ICT and Computer Science</w:t>
            </w:r>
          </w:p>
        </w:tc>
      </w:tr>
      <w:tr w:rsidR="006D2B4C" w:rsidRPr="00726B14" w14:paraId="3A03461C" w14:textId="77777777" w:rsidTr="005C6C4E">
        <w:tc>
          <w:tcPr>
            <w:tcW w:w="2694" w:type="dxa"/>
          </w:tcPr>
          <w:p w14:paraId="4E05CEFB" w14:textId="77777777" w:rsidR="006D2B4C" w:rsidRPr="0097590F" w:rsidRDefault="006D2B4C" w:rsidP="0062131C">
            <w:pPr>
              <w:rPr>
                <w:rFonts w:ascii="Arial" w:hAnsi="Arial" w:cs="Arial"/>
                <w:sz w:val="22"/>
                <w:szCs w:val="22"/>
              </w:rPr>
            </w:pPr>
            <w:r w:rsidRPr="0097590F">
              <w:rPr>
                <w:rFonts w:ascii="Arial" w:hAnsi="Arial" w:cs="Arial"/>
                <w:sz w:val="22"/>
                <w:szCs w:val="22"/>
              </w:rPr>
              <w:t>Location:</w:t>
            </w:r>
          </w:p>
        </w:tc>
        <w:tc>
          <w:tcPr>
            <w:tcW w:w="7371" w:type="dxa"/>
          </w:tcPr>
          <w:p w14:paraId="4FE25C7F" w14:textId="08522ED1" w:rsidR="006D2B4C" w:rsidRPr="0097590F" w:rsidRDefault="005E70CA" w:rsidP="0062131C">
            <w:pPr>
              <w:rPr>
                <w:rFonts w:ascii="Arial" w:hAnsi="Arial" w:cs="Arial"/>
                <w:sz w:val="22"/>
                <w:szCs w:val="22"/>
              </w:rPr>
            </w:pPr>
            <w:r>
              <w:rPr>
                <w:rFonts w:ascii="Arial" w:hAnsi="Arial" w:cs="Arial"/>
                <w:sz w:val="22"/>
                <w:szCs w:val="22"/>
              </w:rPr>
              <w:t>Boston Spa Academy</w:t>
            </w:r>
          </w:p>
        </w:tc>
      </w:tr>
      <w:tr w:rsidR="006D2B4C" w:rsidRPr="00726B14" w14:paraId="2FEA2C32" w14:textId="77777777" w:rsidTr="005C6C4E">
        <w:tc>
          <w:tcPr>
            <w:tcW w:w="2694" w:type="dxa"/>
          </w:tcPr>
          <w:p w14:paraId="2AA56F13" w14:textId="51BE7BF4" w:rsidR="006D2B4C" w:rsidRPr="0097590F" w:rsidRDefault="006D2B4C" w:rsidP="0062131C">
            <w:pPr>
              <w:rPr>
                <w:rFonts w:ascii="Arial" w:hAnsi="Arial" w:cs="Arial"/>
                <w:sz w:val="22"/>
                <w:szCs w:val="22"/>
              </w:rPr>
            </w:pPr>
            <w:r w:rsidRPr="0097590F">
              <w:rPr>
                <w:rFonts w:ascii="Arial" w:hAnsi="Arial" w:cs="Arial"/>
                <w:sz w:val="22"/>
                <w:szCs w:val="22"/>
              </w:rPr>
              <w:t>Scale</w:t>
            </w:r>
            <w:r w:rsidR="005C6C4E" w:rsidRPr="0097590F">
              <w:rPr>
                <w:rFonts w:ascii="Arial" w:hAnsi="Arial" w:cs="Arial"/>
                <w:sz w:val="22"/>
                <w:szCs w:val="22"/>
              </w:rPr>
              <w:t>:</w:t>
            </w:r>
          </w:p>
        </w:tc>
        <w:tc>
          <w:tcPr>
            <w:tcW w:w="7371" w:type="dxa"/>
          </w:tcPr>
          <w:p w14:paraId="27A2E9A5" w14:textId="3AD9D49E" w:rsidR="006D2B4C" w:rsidRPr="0097590F" w:rsidRDefault="006D2B4C" w:rsidP="0062131C">
            <w:pPr>
              <w:rPr>
                <w:rFonts w:ascii="Arial" w:hAnsi="Arial" w:cs="Arial"/>
                <w:sz w:val="22"/>
                <w:szCs w:val="22"/>
              </w:rPr>
            </w:pPr>
            <w:r w:rsidRPr="0097590F">
              <w:rPr>
                <w:rFonts w:ascii="Arial" w:hAnsi="Arial" w:cs="Arial"/>
                <w:sz w:val="22"/>
                <w:szCs w:val="22"/>
              </w:rPr>
              <w:t>MPR /</w:t>
            </w:r>
            <w:r w:rsidR="005C6C4E" w:rsidRPr="0097590F">
              <w:rPr>
                <w:rFonts w:ascii="Arial" w:hAnsi="Arial" w:cs="Arial"/>
                <w:sz w:val="22"/>
                <w:szCs w:val="22"/>
              </w:rPr>
              <w:t xml:space="preserve"> </w:t>
            </w:r>
            <w:r w:rsidRPr="0097590F">
              <w:rPr>
                <w:rFonts w:ascii="Arial" w:hAnsi="Arial" w:cs="Arial"/>
                <w:sz w:val="22"/>
                <w:szCs w:val="22"/>
              </w:rPr>
              <w:t>UPR</w:t>
            </w:r>
          </w:p>
        </w:tc>
      </w:tr>
    </w:tbl>
    <w:p w14:paraId="45AE380E" w14:textId="77777777" w:rsidR="006D2B4C" w:rsidRPr="00726B14" w:rsidRDefault="006D2B4C" w:rsidP="006D2B4C">
      <w:pPr>
        <w:rPr>
          <w:rFonts w:cs="Arial"/>
          <w:sz w:val="22"/>
        </w:rPr>
      </w:pPr>
    </w:p>
    <w:p w14:paraId="47A94C46" w14:textId="77777777" w:rsidR="006D2B4C" w:rsidRPr="00726B14" w:rsidRDefault="006D2B4C" w:rsidP="006D2B4C">
      <w:pPr>
        <w:jc w:val="both"/>
        <w:rPr>
          <w:rFonts w:ascii="Arial" w:hAnsi="Arial" w:cs="Arial"/>
          <w:b/>
          <w:sz w:val="22"/>
        </w:rPr>
      </w:pPr>
      <w:r w:rsidRPr="00726B14">
        <w:rPr>
          <w:rFonts w:ascii="Arial" w:hAnsi="Arial" w:cs="Arial"/>
          <w:b/>
          <w:sz w:val="22"/>
        </w:rPr>
        <w:t>PURPOSE OF THE POST</w:t>
      </w:r>
    </w:p>
    <w:p w14:paraId="44DFF571"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ED7CBFC" w14:textId="77777777" w:rsidR="006D2B4C" w:rsidRPr="00726B14" w:rsidRDefault="006D2B4C" w:rsidP="006D2B4C">
      <w:pPr>
        <w:tabs>
          <w:tab w:val="left" w:pos="1276"/>
        </w:tabs>
        <w:jc w:val="both"/>
        <w:rPr>
          <w:rFonts w:ascii="Arial" w:hAnsi="Arial" w:cs="Arial"/>
          <w:sz w:val="22"/>
        </w:rPr>
      </w:pPr>
    </w:p>
    <w:p w14:paraId="17B97DE2"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421EF9D4" w14:textId="77777777" w:rsidR="006D2B4C" w:rsidRPr="00726B14" w:rsidRDefault="006D2B4C" w:rsidP="006D2B4C">
      <w:pPr>
        <w:tabs>
          <w:tab w:val="left" w:pos="1276"/>
        </w:tabs>
        <w:jc w:val="both"/>
        <w:rPr>
          <w:rFonts w:ascii="Arial" w:hAnsi="Arial" w:cs="Arial"/>
          <w:sz w:val="22"/>
        </w:rPr>
      </w:pPr>
    </w:p>
    <w:p w14:paraId="396312BB" w14:textId="77777777" w:rsidR="006D2B4C" w:rsidRPr="00726B14" w:rsidRDefault="006D2B4C" w:rsidP="006D2B4C">
      <w:pPr>
        <w:tabs>
          <w:tab w:val="left" w:pos="1276"/>
        </w:tabs>
        <w:jc w:val="both"/>
        <w:rPr>
          <w:rFonts w:ascii="Arial" w:hAnsi="Arial" w:cs="Arial"/>
          <w:sz w:val="22"/>
        </w:rPr>
      </w:pPr>
      <w:r w:rsidRPr="00726B14">
        <w:rPr>
          <w:rFonts w:ascii="Arial" w:hAnsi="Arial" w:cs="Arial"/>
          <w:sz w:val="22"/>
        </w:rPr>
        <w:t>Members of staff should at all times work within the framework provided by the Academy’s policy statements to fulfil the general aims and objectives of the Academy’s Leading Learning Plan.</w:t>
      </w:r>
    </w:p>
    <w:p w14:paraId="28D26C2C" w14:textId="77777777" w:rsidR="006D2B4C" w:rsidRPr="00726B14" w:rsidRDefault="006D2B4C" w:rsidP="006D2B4C">
      <w:pPr>
        <w:tabs>
          <w:tab w:val="left" w:pos="1276"/>
        </w:tabs>
        <w:jc w:val="both"/>
        <w:rPr>
          <w:rFonts w:cs="Arial"/>
          <w:sz w:val="22"/>
        </w:rPr>
      </w:pPr>
    </w:p>
    <w:p w14:paraId="2B8C9E77" w14:textId="77777777" w:rsidR="006D2B4C" w:rsidRPr="00726B14" w:rsidRDefault="006D2B4C" w:rsidP="006D2B4C">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4CA803D6"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A802F4"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C863F28"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531A650"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w:t>
      </w:r>
      <w:proofErr w:type="spellStart"/>
      <w:r w:rsidRPr="00726B14">
        <w:rPr>
          <w:rFonts w:ascii="Arial" w:hAnsi="Arial" w:cs="Arial"/>
          <w:sz w:val="22"/>
          <w:szCs w:val="22"/>
          <w:lang w:val="en-US"/>
        </w:rPr>
        <w:t>carers</w:t>
      </w:r>
      <w:proofErr w:type="spellEnd"/>
      <w:r w:rsidRPr="00726B14">
        <w:rPr>
          <w:rFonts w:ascii="Arial" w:hAnsi="Arial" w:cs="Arial"/>
          <w:sz w:val="22"/>
          <w:szCs w:val="22"/>
          <w:lang w:val="en-US"/>
        </w:rPr>
        <w:t>, conveying timely and relevant information about attainment, objectives, progress and well-being.</w:t>
      </w:r>
    </w:p>
    <w:p w14:paraId="3CC64186" w14:textId="77777777" w:rsidR="006D2B4C" w:rsidRPr="00726B14" w:rsidRDefault="006D2B4C" w:rsidP="006D2B4C">
      <w:pPr>
        <w:tabs>
          <w:tab w:val="left" w:pos="1276"/>
        </w:tabs>
        <w:jc w:val="both"/>
        <w:rPr>
          <w:rFonts w:cs="Arial"/>
          <w:sz w:val="22"/>
        </w:rPr>
      </w:pPr>
    </w:p>
    <w:p w14:paraId="1CCC923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F11137A" w14:textId="77777777" w:rsidR="006D2B4C" w:rsidRPr="00726B14" w:rsidRDefault="006D2B4C" w:rsidP="006D2B4C">
      <w:pPr>
        <w:ind w:left="720"/>
        <w:contextualSpacing/>
        <w:jc w:val="both"/>
        <w:rPr>
          <w:rFonts w:ascii="Arial" w:hAnsi="Arial" w:cs="Arial"/>
          <w:sz w:val="22"/>
          <w:szCs w:val="22"/>
          <w:lang w:val="en-US"/>
        </w:rPr>
      </w:pPr>
    </w:p>
    <w:p w14:paraId="7D251991" w14:textId="77777777" w:rsidR="006D2B4C" w:rsidRPr="00726B14" w:rsidRDefault="006D2B4C" w:rsidP="006D2B4C">
      <w:pPr>
        <w:numPr>
          <w:ilvl w:val="0"/>
          <w:numId w:val="1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352BF66" w14:textId="77777777" w:rsidR="006D2B4C" w:rsidRPr="00726B14" w:rsidRDefault="006D2B4C" w:rsidP="006D2B4C">
      <w:pPr>
        <w:ind w:left="720"/>
        <w:contextualSpacing/>
        <w:jc w:val="both"/>
        <w:rPr>
          <w:rFonts w:ascii="Arial" w:hAnsi="Arial" w:cs="Arial"/>
          <w:sz w:val="22"/>
          <w:szCs w:val="22"/>
          <w:lang w:val="en-US"/>
        </w:rPr>
      </w:pPr>
    </w:p>
    <w:p w14:paraId="688558EF" w14:textId="77777777" w:rsidR="006D2B4C" w:rsidRPr="00726B14" w:rsidRDefault="006D2B4C" w:rsidP="006D2B4C">
      <w:pPr>
        <w:tabs>
          <w:tab w:val="left" w:pos="1276"/>
        </w:tabs>
        <w:jc w:val="both"/>
        <w:rPr>
          <w:rFonts w:ascii="Arial" w:hAnsi="Arial" w:cs="Arial"/>
          <w:sz w:val="22"/>
        </w:rPr>
      </w:pPr>
      <w:r w:rsidRPr="00726B14">
        <w:rPr>
          <w:rFonts w:ascii="Arial" w:hAnsi="Arial" w:cs="Arial"/>
          <w:b/>
          <w:sz w:val="22"/>
        </w:rPr>
        <w:t>WORKING WITHIN THE LAW AND FRAMEWORKS</w:t>
      </w:r>
    </w:p>
    <w:p w14:paraId="5EB1C175"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64579046"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0E46C76B" w14:textId="77777777" w:rsidR="006D2B4C" w:rsidRPr="00726B14" w:rsidRDefault="006D2B4C" w:rsidP="006D2B4C">
      <w:pPr>
        <w:tabs>
          <w:tab w:val="left" w:pos="1276"/>
        </w:tabs>
        <w:jc w:val="both"/>
        <w:rPr>
          <w:rFonts w:cs="Arial"/>
          <w:sz w:val="22"/>
        </w:rPr>
      </w:pPr>
    </w:p>
    <w:p w14:paraId="4C5CFC42"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26464625" w14:textId="77777777" w:rsidR="006D2B4C" w:rsidRPr="00726B14" w:rsidRDefault="006D2B4C" w:rsidP="006D2B4C">
      <w:pPr>
        <w:ind w:left="720"/>
        <w:contextualSpacing/>
        <w:jc w:val="both"/>
        <w:rPr>
          <w:rFonts w:ascii="Arial" w:hAnsi="Arial" w:cs="Arial"/>
          <w:lang w:val="en-US"/>
        </w:rPr>
      </w:pPr>
    </w:p>
    <w:p w14:paraId="70FDCEEF"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53F88A54" w14:textId="77777777" w:rsidR="006D2B4C" w:rsidRPr="00726B14" w:rsidRDefault="006D2B4C" w:rsidP="006D2B4C">
      <w:pPr>
        <w:numPr>
          <w:ilvl w:val="1"/>
          <w:numId w:val="15"/>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The Academy’s Positive Discipline and Behaviour policy</w:t>
      </w:r>
    </w:p>
    <w:p w14:paraId="00DF9AC0" w14:textId="77777777" w:rsidR="006D2B4C" w:rsidRPr="00726B14" w:rsidRDefault="006D2B4C" w:rsidP="006D2B4C">
      <w:pPr>
        <w:spacing w:after="160" w:line="256" w:lineRule="auto"/>
        <w:ind w:left="360"/>
        <w:contextualSpacing/>
        <w:jc w:val="both"/>
        <w:rPr>
          <w:rFonts w:ascii="Arial" w:hAnsi="Arial" w:cs="Arial"/>
          <w:sz w:val="22"/>
          <w:u w:val="single"/>
          <w:lang w:val="en-US"/>
        </w:rPr>
      </w:pPr>
    </w:p>
    <w:p w14:paraId="1D407040"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Education’</w:t>
      </w:r>
    </w:p>
    <w:p w14:paraId="4C1EF914" w14:textId="77777777" w:rsidR="006D2B4C" w:rsidRPr="00726B14" w:rsidRDefault="006D2B4C" w:rsidP="006D2B4C">
      <w:pPr>
        <w:spacing w:after="160" w:line="256" w:lineRule="auto"/>
        <w:ind w:left="360"/>
        <w:contextualSpacing/>
        <w:jc w:val="both"/>
        <w:rPr>
          <w:rFonts w:ascii="Arial" w:hAnsi="Arial" w:cs="Arial"/>
          <w:sz w:val="22"/>
          <w:lang w:val="en-US"/>
        </w:rPr>
      </w:pPr>
    </w:p>
    <w:p w14:paraId="5B465196" w14:textId="77777777" w:rsidR="006D2B4C" w:rsidRPr="00726B14" w:rsidRDefault="006D2B4C" w:rsidP="006D2B4C">
      <w:pPr>
        <w:numPr>
          <w:ilvl w:val="0"/>
          <w:numId w:val="15"/>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lastRenderedPageBreak/>
        <w:t>Have responsibility for registering students and reporting any students missing following the Academy protocol</w:t>
      </w:r>
    </w:p>
    <w:p w14:paraId="33B4DD6E" w14:textId="77777777" w:rsidR="006D2B4C" w:rsidRPr="00726B14" w:rsidRDefault="006D2B4C" w:rsidP="006D2B4C">
      <w:pPr>
        <w:spacing w:after="160" w:line="256" w:lineRule="auto"/>
        <w:ind w:left="360"/>
        <w:contextualSpacing/>
        <w:jc w:val="both"/>
        <w:rPr>
          <w:rFonts w:ascii="Arial" w:hAnsi="Arial" w:cs="Arial"/>
          <w:sz w:val="22"/>
          <w:lang w:val="en-US"/>
        </w:rPr>
      </w:pPr>
    </w:p>
    <w:p w14:paraId="3C9F9B0E"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520C369C" w14:textId="77777777" w:rsidR="006D2B4C" w:rsidRPr="00726B14" w:rsidRDefault="006D2B4C" w:rsidP="006D2B4C">
      <w:pPr>
        <w:tabs>
          <w:tab w:val="left" w:pos="1276"/>
        </w:tabs>
        <w:jc w:val="both"/>
        <w:rPr>
          <w:rFonts w:cs="Arial"/>
          <w:sz w:val="22"/>
        </w:rPr>
      </w:pPr>
    </w:p>
    <w:p w14:paraId="3997E64C" w14:textId="77777777" w:rsidR="006D2B4C" w:rsidRPr="00726B14" w:rsidRDefault="006D2B4C" w:rsidP="006D2B4C">
      <w:pPr>
        <w:numPr>
          <w:ilvl w:val="0"/>
          <w:numId w:val="15"/>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136AD378" w14:textId="77777777" w:rsidR="006D2B4C" w:rsidRPr="00726B14" w:rsidRDefault="006D2B4C" w:rsidP="006D2B4C">
      <w:pPr>
        <w:tabs>
          <w:tab w:val="left" w:pos="1276"/>
        </w:tabs>
        <w:jc w:val="both"/>
        <w:rPr>
          <w:rFonts w:cs="Arial"/>
          <w:sz w:val="22"/>
        </w:rPr>
      </w:pPr>
    </w:p>
    <w:p w14:paraId="043F5E9E" w14:textId="77777777" w:rsidR="006D2B4C" w:rsidRPr="00726B14" w:rsidRDefault="006D2B4C" w:rsidP="006D2B4C">
      <w:pPr>
        <w:tabs>
          <w:tab w:val="left" w:pos="1276"/>
        </w:tabs>
        <w:jc w:val="both"/>
        <w:rPr>
          <w:rFonts w:ascii="Arial" w:hAnsi="Arial" w:cs="Arial"/>
          <w:b/>
          <w:sz w:val="22"/>
          <w:szCs w:val="22"/>
        </w:rPr>
      </w:pPr>
      <w:r w:rsidRPr="00726B14">
        <w:rPr>
          <w:rFonts w:ascii="Arial" w:hAnsi="Arial" w:cs="Arial"/>
          <w:b/>
          <w:sz w:val="22"/>
          <w:szCs w:val="22"/>
        </w:rPr>
        <w:t>DEVELOPING PRACTICE</w:t>
      </w:r>
    </w:p>
    <w:p w14:paraId="0E1D7379" w14:textId="77777777" w:rsidR="006D2B4C" w:rsidRPr="00726B14" w:rsidRDefault="006D2B4C" w:rsidP="006D2B4C">
      <w:pPr>
        <w:tabs>
          <w:tab w:val="left" w:pos="1276"/>
        </w:tabs>
        <w:jc w:val="both"/>
        <w:rPr>
          <w:rFonts w:ascii="Arial" w:hAnsi="Arial" w:cs="Arial"/>
          <w:b/>
          <w:sz w:val="22"/>
          <w:szCs w:val="22"/>
        </w:rPr>
      </w:pPr>
    </w:p>
    <w:p w14:paraId="1AE3928B"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(i.e. training, mentoring etc.)</w:t>
      </w:r>
    </w:p>
    <w:p w14:paraId="2779B112" w14:textId="77777777" w:rsidR="006D2B4C" w:rsidRPr="00726B14" w:rsidRDefault="006D2B4C" w:rsidP="006D2B4C">
      <w:pPr>
        <w:tabs>
          <w:tab w:val="left" w:pos="1276"/>
        </w:tabs>
        <w:jc w:val="both"/>
        <w:rPr>
          <w:rFonts w:ascii="Arial" w:hAnsi="Arial" w:cs="Arial"/>
          <w:sz w:val="22"/>
          <w:szCs w:val="22"/>
        </w:rPr>
      </w:pPr>
    </w:p>
    <w:p w14:paraId="028AB976"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1EF9A701" w14:textId="77777777" w:rsidR="006D2B4C" w:rsidRPr="00726B14" w:rsidRDefault="006D2B4C" w:rsidP="006D2B4C">
      <w:pPr>
        <w:tabs>
          <w:tab w:val="left" w:pos="1276"/>
        </w:tabs>
        <w:jc w:val="both"/>
        <w:rPr>
          <w:rFonts w:ascii="Arial" w:hAnsi="Arial" w:cs="Arial"/>
          <w:sz w:val="22"/>
          <w:szCs w:val="22"/>
        </w:rPr>
      </w:pPr>
    </w:p>
    <w:p w14:paraId="6A88A19D" w14:textId="77777777" w:rsidR="006D2B4C" w:rsidRPr="00726B14" w:rsidRDefault="006D2B4C" w:rsidP="006D2B4C">
      <w:pPr>
        <w:numPr>
          <w:ilvl w:val="0"/>
          <w:numId w:val="14"/>
        </w:numPr>
        <w:tabs>
          <w:tab w:val="left" w:pos="1276"/>
        </w:tabs>
        <w:jc w:val="both"/>
        <w:rPr>
          <w:rFonts w:ascii="Arial" w:hAnsi="Arial" w:cs="Arial"/>
          <w:sz w:val="22"/>
          <w:szCs w:val="22"/>
        </w:rPr>
      </w:pPr>
      <w:r w:rsidRPr="00726B14">
        <w:rPr>
          <w:rFonts w:ascii="Arial" w:hAnsi="Arial" w:cs="Arial"/>
          <w:sz w:val="22"/>
          <w:szCs w:val="22"/>
        </w:rPr>
        <w:t>Review the effectiveness of your teaching and its impact on learners’ progress, attainment and well-being refining approaches where necessary.</w:t>
      </w:r>
    </w:p>
    <w:p w14:paraId="16ACE31F" w14:textId="77777777" w:rsidR="006D2B4C" w:rsidRPr="00726B14" w:rsidRDefault="006D2B4C" w:rsidP="006D2B4C">
      <w:pPr>
        <w:tabs>
          <w:tab w:val="left" w:pos="1276"/>
        </w:tabs>
        <w:jc w:val="both"/>
        <w:rPr>
          <w:rFonts w:ascii="Arial" w:hAnsi="Arial" w:cs="Arial"/>
          <w:sz w:val="22"/>
          <w:szCs w:val="22"/>
        </w:rPr>
      </w:pPr>
    </w:p>
    <w:p w14:paraId="0191E300" w14:textId="77777777" w:rsidR="006D2B4C" w:rsidRPr="00726B14" w:rsidRDefault="006D2B4C" w:rsidP="006D2B4C">
      <w:pPr>
        <w:tabs>
          <w:tab w:val="left" w:pos="1276"/>
        </w:tabs>
        <w:jc w:val="both"/>
        <w:rPr>
          <w:rFonts w:ascii="Arial" w:hAnsi="Arial" w:cs="Arial"/>
          <w:sz w:val="22"/>
          <w:szCs w:val="22"/>
        </w:rPr>
      </w:pPr>
      <w:r w:rsidRPr="00726B14">
        <w:rPr>
          <w:rFonts w:ascii="Arial" w:hAnsi="Arial" w:cs="Arial"/>
          <w:b/>
          <w:sz w:val="22"/>
          <w:szCs w:val="22"/>
        </w:rPr>
        <w:t>PROFESSIONAL SKILLS</w:t>
      </w:r>
    </w:p>
    <w:p w14:paraId="54BE1618" w14:textId="77777777" w:rsidR="006D2B4C" w:rsidRPr="00726B14" w:rsidRDefault="006D2B4C" w:rsidP="006D2B4C">
      <w:pPr>
        <w:tabs>
          <w:tab w:val="left" w:pos="1276"/>
        </w:tabs>
        <w:jc w:val="both"/>
        <w:rPr>
          <w:rFonts w:ascii="Arial" w:hAnsi="Arial" w:cs="Arial"/>
          <w:sz w:val="22"/>
          <w:szCs w:val="22"/>
        </w:rPr>
      </w:pPr>
    </w:p>
    <w:p w14:paraId="1B627F2C"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2CB581DE" w14:textId="77777777" w:rsidR="006D2B4C" w:rsidRPr="00726B14" w:rsidRDefault="006D2B4C" w:rsidP="006D2B4C">
      <w:pPr>
        <w:tabs>
          <w:tab w:val="left" w:pos="1276"/>
        </w:tabs>
        <w:jc w:val="both"/>
        <w:rPr>
          <w:rFonts w:ascii="Arial" w:hAnsi="Arial" w:cs="Arial"/>
          <w:sz w:val="22"/>
          <w:szCs w:val="22"/>
        </w:rPr>
      </w:pPr>
    </w:p>
    <w:p w14:paraId="4A43F50B" w14:textId="77777777" w:rsidR="006D2B4C" w:rsidRPr="00726B14" w:rsidRDefault="006D2B4C" w:rsidP="006D2B4C">
      <w:pPr>
        <w:numPr>
          <w:ilvl w:val="0"/>
          <w:numId w:val="13"/>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schedules </w:t>
      </w:r>
    </w:p>
    <w:p w14:paraId="2C1C8735" w14:textId="77777777" w:rsidR="006D2B4C" w:rsidRPr="00726B14" w:rsidRDefault="006D2B4C" w:rsidP="006D2B4C">
      <w:pPr>
        <w:tabs>
          <w:tab w:val="left" w:pos="1276"/>
        </w:tabs>
        <w:jc w:val="both"/>
        <w:rPr>
          <w:rFonts w:ascii="Arial" w:hAnsi="Arial" w:cs="Arial"/>
          <w:sz w:val="22"/>
          <w:szCs w:val="22"/>
        </w:rPr>
      </w:pPr>
    </w:p>
    <w:p w14:paraId="5D7BB86B"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6E5EDB9A" w14:textId="77777777" w:rsidR="006D2B4C" w:rsidRPr="00726B14" w:rsidRDefault="006D2B4C" w:rsidP="006D2B4C">
      <w:pPr>
        <w:tabs>
          <w:tab w:val="left" w:pos="1276"/>
        </w:tabs>
        <w:jc w:val="both"/>
        <w:rPr>
          <w:rFonts w:ascii="Arial" w:hAnsi="Arial" w:cs="Arial"/>
          <w:sz w:val="22"/>
          <w:szCs w:val="22"/>
        </w:rPr>
      </w:pPr>
    </w:p>
    <w:p w14:paraId="481B9104" w14:textId="77777777" w:rsidR="006D2B4C" w:rsidRPr="00726B14" w:rsidRDefault="006D2B4C" w:rsidP="006D2B4C">
      <w:pPr>
        <w:numPr>
          <w:ilvl w:val="0"/>
          <w:numId w:val="13"/>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649719D9" w14:textId="77777777" w:rsidR="006D2B4C" w:rsidRPr="00726B14" w:rsidRDefault="006D2B4C" w:rsidP="006D2B4C">
      <w:pPr>
        <w:tabs>
          <w:tab w:val="left" w:pos="1276"/>
        </w:tabs>
        <w:jc w:val="both"/>
        <w:rPr>
          <w:rFonts w:ascii="Arial" w:hAnsi="Arial" w:cs="Arial"/>
          <w:sz w:val="22"/>
          <w:szCs w:val="22"/>
        </w:rPr>
      </w:pPr>
    </w:p>
    <w:p w14:paraId="13C77A0B"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66A1B429" w14:textId="77777777" w:rsidR="006D2B4C" w:rsidRPr="00726B14" w:rsidRDefault="006D2B4C" w:rsidP="006D2B4C">
      <w:pPr>
        <w:tabs>
          <w:tab w:val="left" w:pos="1276"/>
        </w:tabs>
        <w:jc w:val="both"/>
        <w:rPr>
          <w:rFonts w:ascii="Arial" w:hAnsi="Arial" w:cs="Arial"/>
          <w:sz w:val="22"/>
          <w:szCs w:val="22"/>
        </w:rPr>
      </w:pPr>
    </w:p>
    <w:p w14:paraId="648983A0"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Build on the prior knowledge and attainment of those you teach in order that learners meet learning objectives and make sustained progress</w:t>
      </w:r>
    </w:p>
    <w:p w14:paraId="0A8B7F33" w14:textId="77777777" w:rsidR="006D2B4C" w:rsidRPr="00726B14" w:rsidRDefault="006D2B4C" w:rsidP="006D2B4C">
      <w:pPr>
        <w:tabs>
          <w:tab w:val="left" w:pos="1276"/>
        </w:tabs>
        <w:jc w:val="both"/>
        <w:rPr>
          <w:rFonts w:ascii="Arial" w:hAnsi="Arial" w:cs="Arial"/>
          <w:sz w:val="22"/>
          <w:szCs w:val="22"/>
        </w:rPr>
      </w:pPr>
    </w:p>
    <w:p w14:paraId="249B747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7AD09249" w14:textId="77777777" w:rsidR="006D2B4C" w:rsidRPr="00726B14" w:rsidRDefault="006D2B4C" w:rsidP="006D2B4C">
      <w:pPr>
        <w:tabs>
          <w:tab w:val="left" w:pos="1276"/>
        </w:tabs>
        <w:jc w:val="both"/>
        <w:rPr>
          <w:rFonts w:ascii="Arial" w:hAnsi="Arial" w:cs="Arial"/>
          <w:sz w:val="22"/>
          <w:szCs w:val="22"/>
        </w:rPr>
      </w:pPr>
    </w:p>
    <w:p w14:paraId="2E88E12C"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Adapt your language to suit the learners you teach, introducing new ideas and concepts clearly, and using explanations, questions, discussions and plenaries effectively.</w:t>
      </w:r>
    </w:p>
    <w:p w14:paraId="54332921" w14:textId="77777777" w:rsidR="006D2B4C" w:rsidRPr="00726B14" w:rsidRDefault="006D2B4C" w:rsidP="006D2B4C">
      <w:pPr>
        <w:ind w:left="720"/>
        <w:contextualSpacing/>
        <w:jc w:val="both"/>
        <w:rPr>
          <w:rFonts w:ascii="Arial" w:hAnsi="Arial" w:cs="Arial"/>
          <w:sz w:val="22"/>
          <w:szCs w:val="22"/>
          <w:lang w:val="en-US"/>
        </w:rPr>
      </w:pPr>
    </w:p>
    <w:p w14:paraId="49BDB027" w14:textId="77777777" w:rsidR="006D2B4C" w:rsidRPr="00726B14" w:rsidRDefault="006D2B4C" w:rsidP="006D2B4C">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D1BA7DB" w14:textId="77777777" w:rsidR="006D2B4C" w:rsidRPr="00726B14" w:rsidRDefault="006D2B4C" w:rsidP="006D2B4C">
      <w:pPr>
        <w:tabs>
          <w:tab w:val="left" w:pos="1276"/>
        </w:tabs>
        <w:ind w:left="720"/>
        <w:contextualSpacing/>
        <w:jc w:val="both"/>
        <w:rPr>
          <w:rFonts w:ascii="Arial" w:hAnsi="Arial" w:cs="Arial"/>
          <w:sz w:val="22"/>
          <w:szCs w:val="22"/>
          <w:lang w:val="en-US"/>
        </w:rPr>
      </w:pPr>
    </w:p>
    <w:p w14:paraId="79032E4F" w14:textId="77777777" w:rsidR="006D2B4C" w:rsidRPr="00726B14" w:rsidRDefault="006D2B4C" w:rsidP="006D2B4C">
      <w:pPr>
        <w:tabs>
          <w:tab w:val="left" w:pos="1276"/>
        </w:tabs>
        <w:jc w:val="both"/>
        <w:rPr>
          <w:rFonts w:ascii="Arial" w:hAnsi="Arial" w:cs="Arial"/>
          <w:sz w:val="22"/>
          <w:szCs w:val="22"/>
        </w:rPr>
      </w:pPr>
    </w:p>
    <w:p w14:paraId="0A147DE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lastRenderedPageBreak/>
        <w:t>Teach engaging and motivating lessons informed by well-grounded expectations of learners and designed to raise levels of attainment.</w:t>
      </w:r>
    </w:p>
    <w:p w14:paraId="4F2F6588" w14:textId="77777777" w:rsidR="006D2B4C" w:rsidRPr="00726B14" w:rsidRDefault="006D2B4C" w:rsidP="006D2B4C">
      <w:pPr>
        <w:tabs>
          <w:tab w:val="left" w:pos="1276"/>
        </w:tabs>
        <w:jc w:val="both"/>
        <w:rPr>
          <w:rFonts w:ascii="Arial" w:hAnsi="Arial" w:cs="Arial"/>
          <w:sz w:val="22"/>
          <w:szCs w:val="22"/>
        </w:rPr>
      </w:pPr>
    </w:p>
    <w:p w14:paraId="6856DEFB"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67B53572" w14:textId="77777777" w:rsidR="006D2B4C" w:rsidRPr="00726B14" w:rsidRDefault="006D2B4C" w:rsidP="006D2B4C">
      <w:pPr>
        <w:tabs>
          <w:tab w:val="left" w:pos="1276"/>
        </w:tabs>
        <w:jc w:val="both"/>
        <w:rPr>
          <w:rFonts w:ascii="Arial" w:hAnsi="Arial" w:cs="Arial"/>
          <w:sz w:val="22"/>
          <w:szCs w:val="22"/>
        </w:rPr>
      </w:pPr>
    </w:p>
    <w:p w14:paraId="2DD056B1" w14:textId="77777777" w:rsidR="006D2B4C" w:rsidRPr="00726B14" w:rsidRDefault="006D2B4C" w:rsidP="006D2B4C">
      <w:pPr>
        <w:numPr>
          <w:ilvl w:val="0"/>
          <w:numId w:val="12"/>
        </w:numPr>
        <w:tabs>
          <w:tab w:val="left" w:pos="1276"/>
        </w:tabs>
        <w:jc w:val="both"/>
        <w:rPr>
          <w:rFonts w:ascii="Arial" w:hAnsi="Arial" w:cs="Arial"/>
          <w:sz w:val="22"/>
          <w:szCs w:val="22"/>
        </w:rPr>
      </w:pPr>
      <w:r w:rsidRPr="00726B14">
        <w:rPr>
          <w:rFonts w:ascii="Arial" w:hAnsi="Arial" w:cs="Arial"/>
          <w:sz w:val="22"/>
          <w:szCs w:val="22"/>
        </w:rPr>
        <w:t>Provide learners, colleagues, and carers with timely, accurate and constructive feedback on learners’ attainment, progress and areas of development.</w:t>
      </w:r>
    </w:p>
    <w:p w14:paraId="2C9A9CF1" w14:textId="77777777" w:rsidR="006D2B4C" w:rsidRPr="00726B14" w:rsidRDefault="006D2B4C" w:rsidP="006D2B4C">
      <w:pPr>
        <w:tabs>
          <w:tab w:val="left" w:pos="1276"/>
        </w:tabs>
        <w:jc w:val="both"/>
        <w:rPr>
          <w:rFonts w:ascii="Arial" w:hAnsi="Arial" w:cs="Arial"/>
          <w:sz w:val="22"/>
          <w:szCs w:val="22"/>
        </w:rPr>
      </w:pPr>
    </w:p>
    <w:p w14:paraId="42839ED2"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progress or addressing further misconceptions. </w:t>
      </w:r>
    </w:p>
    <w:p w14:paraId="4E70ACE3" w14:textId="77777777" w:rsidR="006D2B4C" w:rsidRPr="00726B14" w:rsidRDefault="006D2B4C" w:rsidP="006D2B4C">
      <w:pPr>
        <w:ind w:left="720"/>
        <w:contextualSpacing/>
        <w:jc w:val="both"/>
        <w:rPr>
          <w:rFonts w:ascii="Arial" w:hAnsi="Arial" w:cs="Arial"/>
          <w:sz w:val="22"/>
          <w:szCs w:val="22"/>
          <w:lang w:val="en-US"/>
        </w:rPr>
      </w:pPr>
    </w:p>
    <w:p w14:paraId="53A56F0F" w14:textId="77777777" w:rsidR="006D2B4C" w:rsidRPr="00726B14" w:rsidRDefault="006D2B4C" w:rsidP="006D2B4C">
      <w:pPr>
        <w:numPr>
          <w:ilvl w:val="0"/>
          <w:numId w:val="12"/>
        </w:numPr>
        <w:tabs>
          <w:tab w:val="left" w:pos="1276"/>
        </w:tabs>
        <w:jc w:val="both"/>
        <w:rPr>
          <w:rFonts w:ascii="Arial" w:hAnsi="Arial" w:cs="Arial"/>
          <w:sz w:val="22"/>
        </w:rPr>
      </w:pPr>
      <w:r w:rsidRPr="00726B14">
        <w:rPr>
          <w:rFonts w:ascii="Arial" w:hAnsi="Arial" w:cs="Arial"/>
          <w:sz w:val="22"/>
        </w:rPr>
        <w:t>Use the marking and feedback process to develop well informed strategic seating interaction plans which adhere to the Trust’s strands of consistency</w:t>
      </w:r>
    </w:p>
    <w:p w14:paraId="0CA27030" w14:textId="77777777" w:rsidR="006D2B4C" w:rsidRPr="00726B14" w:rsidRDefault="006D2B4C" w:rsidP="006D2B4C">
      <w:pPr>
        <w:tabs>
          <w:tab w:val="left" w:pos="1276"/>
        </w:tabs>
        <w:jc w:val="both"/>
        <w:rPr>
          <w:rFonts w:ascii="Arial" w:hAnsi="Arial" w:cs="Arial"/>
          <w:sz w:val="22"/>
          <w:szCs w:val="22"/>
        </w:rPr>
      </w:pPr>
    </w:p>
    <w:p w14:paraId="4EB69DD4"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Support and guide learners so that they can reflect on their learning, identify the progress they have made, set positive targets for improvement and become successful independent learners.</w:t>
      </w:r>
    </w:p>
    <w:p w14:paraId="4ED1B74A" w14:textId="77777777" w:rsidR="006D2B4C" w:rsidRPr="00726B14" w:rsidRDefault="006D2B4C" w:rsidP="006D2B4C">
      <w:pPr>
        <w:jc w:val="both"/>
        <w:rPr>
          <w:rFonts w:ascii="Arial" w:hAnsi="Arial" w:cs="Arial"/>
          <w:sz w:val="22"/>
          <w:szCs w:val="22"/>
        </w:rPr>
      </w:pPr>
    </w:p>
    <w:p w14:paraId="5E717396"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416C3C4D" w14:textId="77777777" w:rsidR="006D2B4C" w:rsidRPr="00726B14" w:rsidRDefault="006D2B4C" w:rsidP="006D2B4C">
      <w:pPr>
        <w:jc w:val="both"/>
        <w:rPr>
          <w:rFonts w:ascii="Arial" w:hAnsi="Arial" w:cs="Arial"/>
          <w:sz w:val="22"/>
          <w:szCs w:val="22"/>
        </w:rPr>
      </w:pPr>
    </w:p>
    <w:p w14:paraId="705224A5"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1A54C382" w14:textId="77777777" w:rsidR="006D2B4C" w:rsidRPr="00726B14" w:rsidRDefault="006D2B4C" w:rsidP="006D2B4C">
      <w:pPr>
        <w:jc w:val="both"/>
        <w:rPr>
          <w:rFonts w:ascii="Arial" w:hAnsi="Arial" w:cs="Arial"/>
          <w:sz w:val="22"/>
          <w:szCs w:val="22"/>
        </w:rPr>
      </w:pPr>
    </w:p>
    <w:p w14:paraId="40DD058D"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7A2ADC51" w14:textId="77777777" w:rsidR="006D2B4C" w:rsidRPr="00726B14" w:rsidRDefault="006D2B4C" w:rsidP="006D2B4C">
      <w:pPr>
        <w:jc w:val="both"/>
        <w:rPr>
          <w:rFonts w:ascii="Arial" w:hAnsi="Arial" w:cs="Arial"/>
          <w:sz w:val="22"/>
          <w:szCs w:val="22"/>
        </w:rPr>
      </w:pPr>
    </w:p>
    <w:p w14:paraId="5953176B" w14:textId="77777777" w:rsidR="006D2B4C" w:rsidRPr="00726B14" w:rsidRDefault="006D2B4C" w:rsidP="006D2B4C">
      <w:pPr>
        <w:numPr>
          <w:ilvl w:val="0"/>
          <w:numId w:val="12"/>
        </w:numPr>
        <w:jc w:val="both"/>
        <w:rPr>
          <w:rFonts w:ascii="Arial" w:hAnsi="Arial" w:cs="Arial"/>
          <w:sz w:val="22"/>
          <w:szCs w:val="22"/>
        </w:rPr>
      </w:pPr>
      <w:r w:rsidRPr="00726B14">
        <w:rPr>
          <w:rFonts w:ascii="Arial" w:hAnsi="Arial" w:cs="Arial"/>
          <w:sz w:val="22"/>
          <w:szCs w:val="22"/>
        </w:rPr>
        <w:t>Promote learners’ self-control, independence and cooperation through developing their social, emotional and behavioural skills.</w:t>
      </w:r>
    </w:p>
    <w:p w14:paraId="63B657C9" w14:textId="77777777" w:rsidR="006D2B4C" w:rsidRPr="00726B14" w:rsidRDefault="006D2B4C" w:rsidP="006D2B4C">
      <w:pPr>
        <w:jc w:val="both"/>
        <w:rPr>
          <w:rFonts w:ascii="Arial" w:hAnsi="Arial" w:cs="Arial"/>
          <w:sz w:val="22"/>
          <w:szCs w:val="22"/>
        </w:rPr>
      </w:pPr>
    </w:p>
    <w:p w14:paraId="655293C8" w14:textId="77777777" w:rsidR="006D2B4C" w:rsidRPr="00726B14" w:rsidRDefault="006D2B4C" w:rsidP="006D2B4C">
      <w:pPr>
        <w:jc w:val="both"/>
        <w:rPr>
          <w:rFonts w:ascii="Arial" w:hAnsi="Arial" w:cs="Arial"/>
          <w:b/>
          <w:sz w:val="22"/>
          <w:szCs w:val="22"/>
        </w:rPr>
      </w:pPr>
      <w:r w:rsidRPr="00726B14">
        <w:rPr>
          <w:rFonts w:ascii="Arial" w:hAnsi="Arial" w:cs="Arial"/>
          <w:b/>
          <w:sz w:val="22"/>
          <w:szCs w:val="22"/>
        </w:rPr>
        <w:t>PROFESSIONAL KNOWLEDGE AND UNDERSTANDING</w:t>
      </w:r>
    </w:p>
    <w:p w14:paraId="2BFC50B9" w14:textId="77777777" w:rsidR="006D2B4C" w:rsidRPr="00726B14" w:rsidRDefault="006D2B4C" w:rsidP="006D2B4C">
      <w:pPr>
        <w:jc w:val="both"/>
        <w:rPr>
          <w:rFonts w:ascii="Arial" w:hAnsi="Arial" w:cs="Arial"/>
          <w:sz w:val="22"/>
          <w:szCs w:val="22"/>
        </w:rPr>
      </w:pPr>
    </w:p>
    <w:p w14:paraId="09B1A6B9"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7F55AEB1" w14:textId="77777777" w:rsidR="006D2B4C" w:rsidRPr="00726B14" w:rsidRDefault="006D2B4C" w:rsidP="006D2B4C">
      <w:pPr>
        <w:ind w:left="426" w:hanging="426"/>
        <w:jc w:val="both"/>
        <w:rPr>
          <w:rFonts w:ascii="Arial" w:hAnsi="Arial" w:cs="Arial"/>
          <w:sz w:val="22"/>
          <w:szCs w:val="22"/>
        </w:rPr>
      </w:pPr>
    </w:p>
    <w:p w14:paraId="151BB1F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628624EB" w14:textId="77777777" w:rsidR="006D2B4C" w:rsidRPr="00726B14" w:rsidRDefault="006D2B4C" w:rsidP="006D2B4C">
      <w:pPr>
        <w:ind w:left="426" w:hanging="426"/>
        <w:jc w:val="both"/>
        <w:rPr>
          <w:rFonts w:ascii="Arial" w:hAnsi="Arial" w:cs="Arial"/>
          <w:sz w:val="22"/>
          <w:szCs w:val="22"/>
        </w:rPr>
      </w:pPr>
    </w:p>
    <w:p w14:paraId="4F43385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4594F" w14:textId="77777777" w:rsidR="006D2B4C" w:rsidRPr="00726B14" w:rsidRDefault="006D2B4C" w:rsidP="006D2B4C">
      <w:pPr>
        <w:ind w:left="426" w:hanging="426"/>
        <w:jc w:val="both"/>
        <w:rPr>
          <w:rFonts w:ascii="Arial" w:hAnsi="Arial" w:cs="Arial"/>
          <w:sz w:val="22"/>
          <w:szCs w:val="22"/>
        </w:rPr>
      </w:pPr>
    </w:p>
    <w:p w14:paraId="4D731C64"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5415095C" w14:textId="77777777" w:rsidR="006D2B4C" w:rsidRPr="00726B14" w:rsidRDefault="006D2B4C" w:rsidP="006D2B4C">
      <w:pPr>
        <w:ind w:left="426" w:hanging="426"/>
        <w:jc w:val="both"/>
        <w:rPr>
          <w:rFonts w:ascii="Arial" w:hAnsi="Arial" w:cs="Arial"/>
          <w:sz w:val="22"/>
          <w:szCs w:val="22"/>
        </w:rPr>
      </w:pPr>
    </w:p>
    <w:p w14:paraId="4614F0E1"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Have a secure knowledge and understanding of subjects/curriculum areas and related pedagogy including the contribution that your subjects/curriculum areas can make cross-curricular learning; and recent relevant developments.</w:t>
      </w:r>
    </w:p>
    <w:p w14:paraId="2C69B524" w14:textId="77777777" w:rsidR="006D2B4C" w:rsidRPr="00726B14" w:rsidRDefault="006D2B4C" w:rsidP="006D2B4C">
      <w:pPr>
        <w:ind w:left="426" w:hanging="426"/>
        <w:jc w:val="both"/>
        <w:rPr>
          <w:rFonts w:ascii="Arial" w:hAnsi="Arial" w:cs="Arial"/>
          <w:sz w:val="22"/>
          <w:szCs w:val="22"/>
        </w:rPr>
      </w:pPr>
    </w:p>
    <w:p w14:paraId="6E56F1E7"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lastRenderedPageBreak/>
        <w:t>Know and understand the relevant statutory and non-statutory curricula and frameworks, including those provided through the National Strategies, for your subjects/curriculum areas and other relevant initiatives across the age and ability range they teach.</w:t>
      </w:r>
    </w:p>
    <w:p w14:paraId="188B243B" w14:textId="77777777" w:rsidR="006D2B4C" w:rsidRPr="00726B14" w:rsidRDefault="006D2B4C" w:rsidP="006D2B4C">
      <w:pPr>
        <w:ind w:left="426" w:hanging="426"/>
        <w:jc w:val="both"/>
        <w:rPr>
          <w:rFonts w:ascii="Arial" w:hAnsi="Arial" w:cs="Arial"/>
          <w:sz w:val="22"/>
          <w:szCs w:val="22"/>
        </w:rPr>
      </w:pPr>
    </w:p>
    <w:p w14:paraId="2CF9A1E8" w14:textId="77777777" w:rsidR="006D2B4C" w:rsidRPr="00726B14" w:rsidRDefault="006D2B4C" w:rsidP="006D2B4C">
      <w:pPr>
        <w:numPr>
          <w:ilvl w:val="0"/>
          <w:numId w:val="10"/>
        </w:numPr>
        <w:ind w:left="426" w:hanging="426"/>
        <w:jc w:val="both"/>
        <w:rPr>
          <w:rFonts w:ascii="Arial" w:hAnsi="Arial" w:cs="Arial"/>
          <w:sz w:val="22"/>
          <w:szCs w:val="22"/>
        </w:rPr>
      </w:pPr>
      <w:r w:rsidRPr="00726B14">
        <w:rPr>
          <w:rFonts w:ascii="Arial" w:hAnsi="Arial" w:cs="Arial"/>
          <w:sz w:val="22"/>
          <w:szCs w:val="22"/>
        </w:rPr>
        <w:t>Know how to use skills in literacy, numeracy and ICT to support teaching and wider professional activities.</w:t>
      </w:r>
    </w:p>
    <w:p w14:paraId="7FC51D24" w14:textId="77777777" w:rsidR="006D2B4C" w:rsidRPr="00726B14" w:rsidRDefault="006D2B4C" w:rsidP="006D2B4C">
      <w:pPr>
        <w:ind w:left="426" w:hanging="426"/>
        <w:jc w:val="both"/>
        <w:rPr>
          <w:rFonts w:ascii="Arial" w:hAnsi="Arial" w:cs="Arial"/>
          <w:sz w:val="22"/>
          <w:szCs w:val="22"/>
        </w:rPr>
      </w:pPr>
    </w:p>
    <w:p w14:paraId="47FBE271"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Understand how children and young people develop and how the progress, rate of development and well-being of learners are affected by a range of developmental, social, religious, ethnic, cultural and linguistic influences.</w:t>
      </w:r>
    </w:p>
    <w:p w14:paraId="252AE657" w14:textId="77777777" w:rsidR="006D2B4C" w:rsidRPr="00726B14" w:rsidRDefault="006D2B4C" w:rsidP="006D2B4C">
      <w:pPr>
        <w:ind w:left="426" w:hanging="426"/>
        <w:jc w:val="both"/>
        <w:rPr>
          <w:rFonts w:ascii="Arial" w:hAnsi="Arial" w:cs="Arial"/>
          <w:sz w:val="22"/>
          <w:szCs w:val="22"/>
        </w:rPr>
      </w:pPr>
    </w:p>
    <w:p w14:paraId="79D3508C"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3AC60CDC" w14:textId="77777777" w:rsidR="006D2B4C" w:rsidRPr="00726B14" w:rsidRDefault="006D2B4C" w:rsidP="006D2B4C">
      <w:pPr>
        <w:ind w:left="426" w:hanging="426"/>
        <w:jc w:val="both"/>
        <w:rPr>
          <w:rFonts w:ascii="Arial" w:hAnsi="Arial" w:cs="Arial"/>
          <w:sz w:val="22"/>
          <w:szCs w:val="22"/>
        </w:rPr>
      </w:pPr>
    </w:p>
    <w:p w14:paraId="5AE83374" w14:textId="77777777" w:rsidR="006D2B4C" w:rsidRPr="00726B14" w:rsidRDefault="006D2B4C" w:rsidP="006D2B4C">
      <w:pPr>
        <w:numPr>
          <w:ilvl w:val="0"/>
          <w:numId w:val="10"/>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190AD9B0" w14:textId="77777777" w:rsidR="006D2B4C" w:rsidRPr="00726B14" w:rsidRDefault="006D2B4C" w:rsidP="006D2B4C">
      <w:pPr>
        <w:ind w:left="426" w:hanging="426"/>
        <w:jc w:val="both"/>
        <w:rPr>
          <w:rFonts w:ascii="Arial" w:hAnsi="Arial" w:cs="Arial"/>
          <w:sz w:val="22"/>
          <w:szCs w:val="22"/>
        </w:rPr>
      </w:pPr>
    </w:p>
    <w:p w14:paraId="504DE1AB" w14:textId="77777777" w:rsidR="006D2B4C" w:rsidRPr="00726B14" w:rsidRDefault="006D2B4C" w:rsidP="006D2B4C">
      <w:pPr>
        <w:ind w:left="426" w:hanging="426"/>
        <w:jc w:val="both"/>
        <w:rPr>
          <w:rFonts w:ascii="Arial" w:hAnsi="Arial" w:cs="Arial"/>
          <w:b/>
          <w:sz w:val="22"/>
          <w:szCs w:val="22"/>
        </w:rPr>
      </w:pPr>
      <w:r w:rsidRPr="00726B14">
        <w:rPr>
          <w:rFonts w:ascii="Arial" w:hAnsi="Arial" w:cs="Arial"/>
          <w:b/>
          <w:sz w:val="22"/>
          <w:szCs w:val="22"/>
        </w:rPr>
        <w:t>PERSONAL RESPONSIBILITIES</w:t>
      </w:r>
    </w:p>
    <w:p w14:paraId="56D747D1" w14:textId="77777777" w:rsidR="006D2B4C" w:rsidRPr="00726B14" w:rsidRDefault="006D2B4C" w:rsidP="006D2B4C">
      <w:pPr>
        <w:ind w:left="426" w:hanging="426"/>
        <w:jc w:val="both"/>
        <w:rPr>
          <w:rFonts w:ascii="Arial" w:hAnsi="Arial" w:cs="Arial"/>
          <w:b/>
          <w:sz w:val="22"/>
          <w:szCs w:val="22"/>
        </w:rPr>
      </w:pPr>
    </w:p>
    <w:p w14:paraId="1BEB0FF1"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Hold positive values and attitudes adopt high standards of behaviour in your professional role.</w:t>
      </w:r>
    </w:p>
    <w:p w14:paraId="23CF636C" w14:textId="77777777" w:rsidR="006D2B4C" w:rsidRPr="00726B14" w:rsidRDefault="006D2B4C" w:rsidP="006D2B4C">
      <w:pPr>
        <w:ind w:left="426" w:hanging="426"/>
        <w:jc w:val="both"/>
        <w:rPr>
          <w:rFonts w:ascii="Arial" w:hAnsi="Arial" w:cs="Arial"/>
          <w:sz w:val="22"/>
          <w:szCs w:val="22"/>
        </w:rPr>
      </w:pPr>
    </w:p>
    <w:p w14:paraId="6625FC06"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5A42718E" w14:textId="77777777" w:rsidR="006D2B4C" w:rsidRPr="00726B14" w:rsidRDefault="006D2B4C" w:rsidP="006D2B4C">
      <w:pPr>
        <w:ind w:left="426" w:hanging="426"/>
        <w:jc w:val="both"/>
        <w:rPr>
          <w:rFonts w:ascii="Arial" w:hAnsi="Arial" w:cs="Arial"/>
          <w:sz w:val="22"/>
          <w:szCs w:val="22"/>
        </w:rPr>
      </w:pPr>
    </w:p>
    <w:p w14:paraId="420B4CB2"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468A2906" w14:textId="77777777" w:rsidR="006D2B4C" w:rsidRPr="00726B14" w:rsidRDefault="006D2B4C" w:rsidP="006D2B4C">
      <w:pPr>
        <w:ind w:left="426" w:hanging="426"/>
        <w:jc w:val="both"/>
        <w:rPr>
          <w:rFonts w:ascii="Arial" w:hAnsi="Arial" w:cs="Arial"/>
          <w:sz w:val="22"/>
          <w:szCs w:val="22"/>
        </w:rPr>
      </w:pPr>
    </w:p>
    <w:p w14:paraId="3D549549"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70EFDDA5" w14:textId="77777777" w:rsidR="006D2B4C" w:rsidRPr="00726B14" w:rsidRDefault="006D2B4C" w:rsidP="006D2B4C">
      <w:pPr>
        <w:ind w:left="426" w:hanging="426"/>
        <w:jc w:val="both"/>
        <w:rPr>
          <w:rFonts w:ascii="Arial" w:hAnsi="Arial" w:cs="Arial"/>
          <w:sz w:val="22"/>
          <w:szCs w:val="22"/>
        </w:rPr>
      </w:pPr>
    </w:p>
    <w:p w14:paraId="3D16F1C3" w14:textId="77777777" w:rsidR="006D2B4C" w:rsidRPr="00726B14"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34459231" w14:textId="77777777" w:rsidR="006D2B4C" w:rsidRPr="00726B14" w:rsidRDefault="006D2B4C" w:rsidP="006D2B4C">
      <w:pPr>
        <w:ind w:left="426" w:hanging="426"/>
        <w:jc w:val="both"/>
        <w:rPr>
          <w:rFonts w:ascii="Arial" w:hAnsi="Arial" w:cs="Arial"/>
          <w:sz w:val="22"/>
          <w:szCs w:val="22"/>
        </w:rPr>
      </w:pPr>
    </w:p>
    <w:p w14:paraId="6C063F29" w14:textId="77777777" w:rsidR="006D2B4C" w:rsidRDefault="006D2B4C" w:rsidP="006D2B4C">
      <w:pPr>
        <w:numPr>
          <w:ilvl w:val="0"/>
          <w:numId w:val="11"/>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37314C4C" w14:textId="00FF49F3" w:rsidR="00BF222E" w:rsidRDefault="00BF222E" w:rsidP="00BF222E">
      <w:pPr>
        <w:rPr>
          <w:rFonts w:ascii="Arial" w:eastAsia="Times New Roman" w:hAnsi="Arial" w:cs="Arial"/>
          <w:i/>
          <w:sz w:val="22"/>
          <w:szCs w:val="22"/>
        </w:rPr>
      </w:pPr>
    </w:p>
    <w:p w14:paraId="5CC491D1" w14:textId="77777777" w:rsidR="00D93C4D" w:rsidRPr="00FD78DF" w:rsidRDefault="00D93C4D" w:rsidP="00BF222E">
      <w:pPr>
        <w:rPr>
          <w:rFonts w:ascii="Arial" w:eastAsia="Times New Roman" w:hAnsi="Arial" w:cs="Arial"/>
          <w:i/>
          <w:sz w:val="22"/>
          <w:szCs w:val="22"/>
        </w:rPr>
      </w:pPr>
    </w:p>
    <w:p w14:paraId="057112C7" w14:textId="77777777" w:rsidR="00D93C4D" w:rsidRPr="000918DF" w:rsidRDefault="00D93C4D" w:rsidP="00D93C4D">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5DEA0953" w14:textId="77777777" w:rsidR="00D93C4D" w:rsidRPr="000918DF" w:rsidRDefault="00D93C4D" w:rsidP="00D93C4D">
      <w:pPr>
        <w:jc w:val="both"/>
        <w:rPr>
          <w:rStyle w:val="Emphasis"/>
          <w:rFonts w:ascii="Arial" w:hAnsi="Arial" w:cs="Arial"/>
          <w:b/>
          <w:bCs/>
          <w:sz w:val="18"/>
          <w:szCs w:val="18"/>
          <w:shd w:val="clear" w:color="auto" w:fill="FFFFFF"/>
          <w:lang w:val="en-US"/>
        </w:rPr>
      </w:pPr>
    </w:p>
    <w:p w14:paraId="7674955B" w14:textId="77777777" w:rsidR="00D93C4D" w:rsidRPr="000918DF" w:rsidRDefault="00D93C4D" w:rsidP="00D93C4D">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3CC7D372" w14:textId="7C7666D3" w:rsidR="00EE2497" w:rsidRPr="000918DF" w:rsidRDefault="00EE2497" w:rsidP="00EE46C9">
      <w:pPr>
        <w:pStyle w:val="NoSpacing"/>
        <w:jc w:val="both"/>
        <w:rPr>
          <w:rFonts w:ascii="Arial" w:hAnsi="Arial" w:cs="Arial"/>
          <w:sz w:val="18"/>
          <w:szCs w:val="18"/>
        </w:rPr>
      </w:pPr>
    </w:p>
    <w:p w14:paraId="6553A5F6" w14:textId="3A4F107F" w:rsidR="00EE2497" w:rsidRDefault="00EE2497" w:rsidP="00EE46C9">
      <w:pPr>
        <w:pStyle w:val="NoSpacing"/>
        <w:jc w:val="both"/>
        <w:rPr>
          <w:rFonts w:ascii="Arial" w:hAnsi="Arial" w:cs="Arial"/>
          <w:sz w:val="24"/>
          <w:szCs w:val="24"/>
        </w:rPr>
      </w:pPr>
    </w:p>
    <w:p w14:paraId="0638AA7D" w14:textId="5FDE3625" w:rsidR="005E3A16" w:rsidRDefault="005E3A16" w:rsidP="00EE46C9">
      <w:pPr>
        <w:pStyle w:val="NoSpacing"/>
        <w:jc w:val="both"/>
        <w:rPr>
          <w:rFonts w:ascii="Arial" w:hAnsi="Arial" w:cs="Arial"/>
          <w:sz w:val="24"/>
          <w:szCs w:val="24"/>
        </w:rPr>
      </w:pPr>
    </w:p>
    <w:p w14:paraId="7B12BE8A" w14:textId="5423F0C3" w:rsidR="00904CBD" w:rsidRDefault="00904CBD" w:rsidP="00EE46C9">
      <w:pPr>
        <w:pStyle w:val="NoSpacing"/>
        <w:jc w:val="both"/>
        <w:rPr>
          <w:rFonts w:ascii="Arial" w:hAnsi="Arial" w:cs="Arial"/>
          <w:sz w:val="24"/>
          <w:szCs w:val="24"/>
        </w:rPr>
      </w:pPr>
    </w:p>
    <w:sectPr w:rsidR="00904CBD" w:rsidSect="003A1643">
      <w:headerReference w:type="default" r:id="rId10"/>
      <w:footerReference w:type="default" r:id="rId11"/>
      <w:headerReference w:type="first" r:id="rId12"/>
      <w:footerReference w:type="first" r:id="rId13"/>
      <w:pgSz w:w="11906" w:h="16838"/>
      <w:pgMar w:top="851" w:right="851" w:bottom="85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EABF" w14:textId="77777777" w:rsidR="0075659D" w:rsidRDefault="0075659D" w:rsidP="00F40832">
      <w:r>
        <w:separator/>
      </w:r>
    </w:p>
  </w:endnote>
  <w:endnote w:type="continuationSeparator" w:id="0">
    <w:p w14:paraId="40E48397" w14:textId="77777777" w:rsidR="0075659D" w:rsidRDefault="0075659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C2E5" w14:textId="77777777" w:rsidR="00C21482" w:rsidRPr="00B21DD8" w:rsidRDefault="00C21482" w:rsidP="00C21482">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54BA33B" w14:textId="77777777" w:rsidR="00C21482" w:rsidRDefault="00C21482" w:rsidP="00C21482">
    <w:pPr>
      <w:pStyle w:val="Footer"/>
      <w:tabs>
        <w:tab w:val="clear" w:pos="4513"/>
        <w:tab w:val="clear" w:pos="9026"/>
        <w:tab w:val="right" w:pos="10204"/>
      </w:tabs>
      <w:rPr>
        <w:rFonts w:ascii="Arial" w:hAnsi="Arial" w:cs="Arial"/>
        <w:b/>
        <w:color w:val="0D0D0D" w:themeColor="text1" w:themeTint="F2"/>
        <w:sz w:val="16"/>
      </w:rPr>
    </w:pPr>
  </w:p>
  <w:p w14:paraId="21C1F8AF" w14:textId="77777777" w:rsidR="00C21482" w:rsidRPr="006466CB" w:rsidRDefault="00C21482" w:rsidP="00C21482">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296E1AC8" w14:textId="77777777" w:rsidR="00C21482" w:rsidRDefault="00C21482" w:rsidP="00C21482">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73F3B46F" w14:textId="08681160" w:rsidR="0065350C" w:rsidRPr="00C21482" w:rsidRDefault="00C21482" w:rsidP="00C21482">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77777777"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6680A84E" w14:textId="77777777" w:rsidR="007D5EE0" w:rsidRDefault="007D5EE0" w:rsidP="007D5EE0">
    <w:pPr>
      <w:pStyle w:val="Footer"/>
      <w:tabs>
        <w:tab w:val="clear" w:pos="4513"/>
        <w:tab w:val="clear" w:pos="9026"/>
        <w:tab w:val="right" w:pos="10204"/>
      </w:tabs>
      <w:rPr>
        <w:rFonts w:ascii="Arial" w:hAnsi="Arial" w:cs="Arial"/>
        <w:b/>
        <w:color w:val="0D0D0D" w:themeColor="text1" w:themeTint="F2"/>
        <w:sz w:val="16"/>
      </w:rPr>
    </w:pPr>
  </w:p>
  <w:p w14:paraId="70C59DF0"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rPr>
    </w:pPr>
    <w:r w:rsidRPr="006466CB">
      <w:rPr>
        <w:rFonts w:ascii="Arial" w:hAnsi="Arial" w:cs="Arial"/>
        <w:b/>
        <w:color w:val="808080" w:themeColor="background1" w:themeShade="80"/>
        <w:sz w:val="16"/>
        <w:szCs w:val="20"/>
      </w:rPr>
      <w:t>The GORSE Academies Trust</w:t>
    </w:r>
  </w:p>
  <w:p w14:paraId="6848E5B7" w14:textId="77777777" w:rsidR="007D5EE0" w:rsidRDefault="007D5EE0" w:rsidP="007D5EE0">
    <w:pPr>
      <w:pStyle w:val="Footer"/>
      <w:tabs>
        <w:tab w:val="clear" w:pos="4513"/>
        <w:tab w:val="clear" w:pos="9026"/>
        <w:tab w:val="right" w:pos="10204"/>
      </w:tabs>
      <w:jc w:val="center"/>
      <w:rPr>
        <w:rFonts w:ascii="Arial" w:hAnsi="Arial" w:cs="Arial"/>
        <w:color w:val="808080" w:themeColor="background1" w:themeShade="80"/>
        <w:sz w:val="16"/>
        <w:szCs w:val="20"/>
      </w:rPr>
    </w:pPr>
    <w:r w:rsidRPr="006466CB">
      <w:rPr>
        <w:rFonts w:ascii="Arial" w:hAnsi="Arial" w:cs="Arial"/>
        <w:color w:val="808080" w:themeColor="background1" w:themeShade="80"/>
        <w:sz w:val="16"/>
        <w:szCs w:val="20"/>
      </w:rPr>
      <w:t xml:space="preserve">c/o </w:t>
    </w:r>
    <w:r>
      <w:rPr>
        <w:rFonts w:ascii="Arial" w:hAnsi="Arial" w:cs="Arial"/>
        <w:color w:val="808080" w:themeColor="background1" w:themeShade="80"/>
        <w:sz w:val="16"/>
        <w:szCs w:val="20"/>
      </w:rPr>
      <w:t>John Smeaton Academy</w:t>
    </w:r>
  </w:p>
  <w:p w14:paraId="4FA17C1D" w14:textId="77777777" w:rsidR="007D5EE0" w:rsidRPr="006466CB" w:rsidRDefault="007D5EE0" w:rsidP="007D5EE0">
    <w:pPr>
      <w:pStyle w:val="Footer"/>
      <w:tabs>
        <w:tab w:val="clear" w:pos="4513"/>
        <w:tab w:val="clear" w:pos="9026"/>
        <w:tab w:val="right" w:pos="10204"/>
      </w:tabs>
      <w:jc w:val="center"/>
      <w:rPr>
        <w:rFonts w:ascii="Arial" w:hAnsi="Arial" w:cs="Arial"/>
        <w:b/>
        <w:color w:val="808080" w:themeColor="background1" w:themeShade="80"/>
        <w:sz w:val="16"/>
        <w:szCs w:val="18"/>
        <w:shd w:val="clear" w:color="auto" w:fill="FFFFFF"/>
      </w:rPr>
    </w:pPr>
    <w:r>
      <w:rPr>
        <w:rFonts w:ascii="Arial" w:hAnsi="Arial" w:cs="Arial"/>
        <w:color w:val="808080" w:themeColor="background1" w:themeShade="80"/>
        <w:sz w:val="16"/>
        <w:szCs w:val="20"/>
      </w:rPr>
      <w:t>Smeaton Approach, Barwick Road</w:t>
    </w:r>
    <w:r>
      <w:rPr>
        <w:rFonts w:ascii="Arial" w:hAnsi="Arial" w:cs="Arial"/>
        <w:color w:val="808080" w:themeColor="background1" w:themeShade="80"/>
        <w:sz w:val="16"/>
      </w:rPr>
      <w:t>, Leeds, LS15 8TA</w:t>
    </w:r>
  </w:p>
  <w:p w14:paraId="01234E30" w14:textId="77777777" w:rsidR="007D5EE0" w:rsidRDefault="007D5EE0" w:rsidP="007D5EE0">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p w14:paraId="78CA85D2" w14:textId="77777777" w:rsidR="006466CB" w:rsidRPr="00D54734" w:rsidRDefault="006466CB" w:rsidP="00BA6E27">
    <w:pPr>
      <w:pStyle w:val="Footer"/>
      <w:tabs>
        <w:tab w:val="clear" w:pos="4513"/>
        <w:tab w:val="clear" w:pos="9026"/>
        <w:tab w:val="left" w:pos="1560"/>
        <w:tab w:val="left" w:pos="3119"/>
        <w:tab w:val="left" w:pos="4678"/>
        <w:tab w:val="left" w:pos="6096"/>
        <w:tab w:val="left" w:pos="7513"/>
        <w:tab w:val="left" w:pos="8931"/>
        <w:tab w:val="right" w:pos="10204"/>
      </w:tabs>
      <w:rPr>
        <w:rFonts w:ascii="Arial" w:hAnsi="Arial" w:cs="Arial"/>
        <w:b/>
        <w:bCs/>
        <w:color w:val="333333"/>
        <w:sz w:val="2"/>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7841" w14:textId="77777777" w:rsidR="0075659D" w:rsidRDefault="0075659D" w:rsidP="00F40832">
      <w:r>
        <w:separator/>
      </w:r>
    </w:p>
  </w:footnote>
  <w:footnote w:type="continuationSeparator" w:id="0">
    <w:p w14:paraId="17AF5742" w14:textId="77777777" w:rsidR="0075659D" w:rsidRDefault="0075659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4AC2" w14:textId="7545CC2B" w:rsidR="005E3A16" w:rsidRDefault="005E3A16">
    <w:pPr>
      <w:pStyle w:val="Header"/>
    </w:pPr>
    <w:r w:rsidRPr="00564870">
      <w:rPr>
        <w:rFonts w:ascii="Arial" w:hAnsi="Arial" w:cs="Arial"/>
        <w:noProof/>
        <w:sz w:val="16"/>
        <w:szCs w:val="20"/>
        <w:lang w:eastAsia="en-GB"/>
      </w:rPr>
      <w:drawing>
        <wp:anchor distT="0" distB="0" distL="114300" distR="114300" simplePos="0" relativeHeight="251661312" behindDoc="1" locked="0" layoutInCell="1" allowOverlap="1" wp14:anchorId="11B6843C" wp14:editId="545ADFAD">
          <wp:simplePos x="0" y="0"/>
          <wp:positionH relativeFrom="margin">
            <wp:posOffset>-102235</wp:posOffset>
          </wp:positionH>
          <wp:positionV relativeFrom="paragraph">
            <wp:posOffset>-60325</wp:posOffset>
          </wp:positionV>
          <wp:extent cx="1877060" cy="695325"/>
          <wp:effectExtent l="0" t="0" r="889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06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D302" w14:textId="77777777" w:rsidR="007D5EE0" w:rsidRPr="0083529E" w:rsidRDefault="007D5EE0" w:rsidP="007D5EE0">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63360" behindDoc="1" locked="0" layoutInCell="1" allowOverlap="1" wp14:anchorId="641802F8" wp14:editId="0836D70A">
          <wp:simplePos x="0" y="0"/>
          <wp:positionH relativeFrom="margin">
            <wp:posOffset>-51435</wp:posOffset>
          </wp:positionH>
          <wp:positionV relativeFrom="paragraph">
            <wp:posOffset>-86360</wp:posOffset>
          </wp:positionV>
          <wp:extent cx="2190750" cy="812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12165"/>
                  </a:xfrm>
                  <a:prstGeom prst="rect">
                    <a:avLst/>
                  </a:prstGeom>
                  <a:noFill/>
                  <a:ln>
                    <a:noFill/>
                  </a:ln>
                </pic:spPr>
              </pic:pic>
            </a:graphicData>
          </a:graphic>
        </wp:anchor>
      </w:drawing>
    </w:r>
    <w:r>
      <w:rPr>
        <w:rFonts w:ascii="Arial" w:hAnsi="Arial" w:cs="Arial"/>
        <w:sz w:val="16"/>
        <w:szCs w:val="20"/>
      </w:rPr>
      <w:tab/>
    </w:r>
    <w:r w:rsidRPr="0083529E">
      <w:rPr>
        <w:rFonts w:ascii="Arial" w:hAnsi="Arial" w:cs="Arial"/>
        <w:b/>
        <w:sz w:val="16"/>
        <w:szCs w:val="20"/>
      </w:rPr>
      <w:t>The GORSE Academies Trust</w:t>
    </w:r>
  </w:p>
  <w:p w14:paraId="1059B37E" w14:textId="77777777" w:rsidR="007D5EE0" w:rsidRDefault="007D5EE0" w:rsidP="007D5EE0">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r>
      <w:rPr>
        <w:rFonts w:ascii="Arial" w:hAnsi="Arial" w:cs="Arial"/>
        <w:sz w:val="16"/>
        <w:szCs w:val="20"/>
      </w:rPr>
      <w:t>c/o John Smeaton Academy</w:t>
    </w:r>
  </w:p>
  <w:p w14:paraId="5C47B25A"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Smeaton Approach</w:t>
    </w:r>
  </w:p>
  <w:p w14:paraId="45920EC5"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Barwick Road</w:t>
    </w:r>
  </w:p>
  <w:p w14:paraId="0F4D80DF"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Leeds</w:t>
    </w:r>
  </w:p>
  <w:p w14:paraId="2B55B4AB" w14:textId="77777777" w:rsidR="007D5EE0"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LS15 8TA</w:t>
    </w:r>
  </w:p>
  <w:p w14:paraId="1200CCCE" w14:textId="77777777" w:rsidR="007D5EE0" w:rsidRPr="00C246F6" w:rsidRDefault="007D5EE0" w:rsidP="007D5EE0">
    <w:pPr>
      <w:pStyle w:val="Header"/>
      <w:tabs>
        <w:tab w:val="clear" w:pos="4513"/>
        <w:tab w:val="clear" w:pos="9026"/>
        <w:tab w:val="right" w:pos="10204"/>
      </w:tabs>
      <w:rPr>
        <w:rFonts w:ascii="Arial" w:hAnsi="Arial" w:cs="Arial"/>
        <w:sz w:val="16"/>
        <w:szCs w:val="20"/>
      </w:rPr>
    </w:pPr>
    <w:r>
      <w:rPr>
        <w:rFonts w:ascii="Arial" w:hAnsi="Arial" w:cs="Arial"/>
        <w:sz w:val="16"/>
        <w:szCs w:val="20"/>
      </w:rPr>
      <w:tab/>
      <w:t xml:space="preserve">0113 487 8888 </w:t>
    </w:r>
    <w:r w:rsidRPr="0083529E">
      <w:rPr>
        <w:rFonts w:ascii="Arial" w:hAnsi="Arial" w:cs="Arial"/>
        <w:sz w:val="16"/>
        <w:szCs w:val="20"/>
      </w:rPr>
      <w:t xml:space="preserve">      </w:t>
    </w:r>
  </w:p>
  <w:p w14:paraId="43BDB5A8" w14:textId="77777777" w:rsidR="007D5EE0" w:rsidRPr="00C246F6" w:rsidRDefault="007D5EE0" w:rsidP="007D5EE0">
    <w:pPr>
      <w:pStyle w:val="Header"/>
      <w:tabs>
        <w:tab w:val="clear" w:pos="4513"/>
        <w:tab w:val="clear" w:pos="9026"/>
        <w:tab w:val="right" w:pos="10204"/>
      </w:tabs>
      <w:rPr>
        <w:rFonts w:ascii="Arial" w:hAnsi="Arial" w:cs="Arial"/>
        <w:b/>
        <w:sz w:val="16"/>
        <w:szCs w:val="20"/>
      </w:rPr>
    </w:pPr>
    <w:r w:rsidRPr="00C246F6">
      <w:rPr>
        <w:rFonts w:ascii="Arial" w:hAnsi="Arial" w:cs="Arial"/>
        <w:b/>
        <w:color w:val="004F66"/>
        <w:sz w:val="16"/>
        <w:szCs w:val="20"/>
      </w:rPr>
      <w:t>Chief Executive Officer</w:t>
    </w:r>
    <w:r w:rsidRPr="00C246F6">
      <w:rPr>
        <w:rFonts w:ascii="Arial" w:hAnsi="Arial" w:cs="Arial"/>
        <w:color w:val="004F66"/>
        <w:sz w:val="16"/>
        <w:szCs w:val="20"/>
      </w:rPr>
      <w:t xml:space="preserve">: </w:t>
    </w:r>
    <w:r>
      <w:rPr>
        <w:rFonts w:ascii="Arial" w:hAnsi="Arial" w:cs="Arial"/>
        <w:sz w:val="16"/>
        <w:szCs w:val="20"/>
      </w:rPr>
      <w:t>Sir John Townsley BA (Hons) NPQH</w:t>
    </w:r>
    <w:r>
      <w:rPr>
        <w:rFonts w:ascii="Arial" w:hAnsi="Arial" w:cs="Arial"/>
        <w:sz w:val="16"/>
        <w:szCs w:val="20"/>
      </w:rPr>
      <w:tab/>
      <w:t>info@tgat.org.uk</w:t>
    </w:r>
  </w:p>
  <w:p w14:paraId="5FEEB80F" w14:textId="77777777" w:rsidR="007D5EE0" w:rsidRPr="00451F32" w:rsidRDefault="007D5EE0" w:rsidP="007D5EE0">
    <w:pPr>
      <w:pStyle w:val="Header"/>
      <w:tabs>
        <w:tab w:val="clear" w:pos="4513"/>
        <w:tab w:val="clear" w:pos="9026"/>
        <w:tab w:val="right" w:pos="10204"/>
      </w:tabs>
      <w:rPr>
        <w:rFonts w:ascii="Arial" w:hAnsi="Arial" w:cs="Arial"/>
        <w:sz w:val="16"/>
        <w:szCs w:val="20"/>
      </w:rPr>
    </w:pPr>
    <w:r w:rsidRPr="00C246F6">
      <w:rPr>
        <w:rFonts w:ascii="Arial" w:hAnsi="Arial" w:cs="Arial"/>
        <w:b/>
        <w:color w:val="004F66"/>
        <w:sz w:val="16"/>
        <w:szCs w:val="20"/>
      </w:rPr>
      <w:t>Chair of the Board:</w:t>
    </w:r>
    <w:r w:rsidRPr="00C246F6">
      <w:rPr>
        <w:rFonts w:ascii="Arial" w:hAnsi="Arial" w:cs="Arial"/>
        <w:color w:val="004F66"/>
        <w:sz w:val="16"/>
        <w:szCs w:val="20"/>
      </w:rPr>
      <w:t xml:space="preserve"> </w:t>
    </w:r>
    <w:r>
      <w:rPr>
        <w:rFonts w:ascii="Arial" w:hAnsi="Arial" w:cs="Arial"/>
        <w:sz w:val="16"/>
        <w:szCs w:val="20"/>
      </w:rPr>
      <w:t>Mrs A McAvan BA (Hons) NPQH</w:t>
    </w:r>
    <w:r>
      <w:rPr>
        <w:rFonts w:ascii="Arial" w:hAnsi="Arial" w:cs="Arial"/>
        <w:sz w:val="16"/>
        <w:szCs w:val="20"/>
      </w:rPr>
      <w:tab/>
    </w:r>
    <w:r w:rsidRPr="0083529E">
      <w:rPr>
        <w:rFonts w:ascii="Arial" w:hAnsi="Arial" w:cs="Arial"/>
        <w:b/>
        <w:color w:val="004F66"/>
        <w:sz w:val="16"/>
        <w:szCs w:val="20"/>
      </w:rPr>
      <w:t>www.tgat.org.uk</w:t>
    </w:r>
  </w:p>
  <w:p w14:paraId="6F629EAF" w14:textId="77777777" w:rsidR="00F51D6A" w:rsidRDefault="00F51D6A" w:rsidP="00F51D6A">
    <w:pPr>
      <w:pStyle w:val="Header"/>
      <w:pBdr>
        <w:bottom w:val="single" w:sz="6" w:space="1" w:color="auto"/>
      </w:pBd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D6EB7"/>
    <w:multiLevelType w:val="hybridMultilevel"/>
    <w:tmpl w:val="E362E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E218E"/>
    <w:multiLevelType w:val="hybridMultilevel"/>
    <w:tmpl w:val="0414E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042EE4"/>
    <w:multiLevelType w:val="hybridMultilevel"/>
    <w:tmpl w:val="688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782EBC"/>
    <w:multiLevelType w:val="hybridMultilevel"/>
    <w:tmpl w:val="6B20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120CE7"/>
    <w:multiLevelType w:val="hybridMultilevel"/>
    <w:tmpl w:val="36B4E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55C8B"/>
    <w:multiLevelType w:val="hybridMultilevel"/>
    <w:tmpl w:val="DA22F5FC"/>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3D2197E"/>
    <w:multiLevelType w:val="hybridMultilevel"/>
    <w:tmpl w:val="03C4D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B6137"/>
    <w:multiLevelType w:val="hybridMultilevel"/>
    <w:tmpl w:val="F232F462"/>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242697">
    <w:abstractNumId w:val="4"/>
  </w:num>
  <w:num w:numId="2" w16cid:durableId="228031031">
    <w:abstractNumId w:val="12"/>
  </w:num>
  <w:num w:numId="3" w16cid:durableId="108209589">
    <w:abstractNumId w:val="6"/>
  </w:num>
  <w:num w:numId="4" w16cid:durableId="725835823">
    <w:abstractNumId w:val="9"/>
  </w:num>
  <w:num w:numId="5" w16cid:durableId="956331636">
    <w:abstractNumId w:val="8"/>
  </w:num>
  <w:num w:numId="6" w16cid:durableId="383136810">
    <w:abstractNumId w:val="11"/>
  </w:num>
  <w:num w:numId="7" w16cid:durableId="52044586">
    <w:abstractNumId w:val="2"/>
  </w:num>
  <w:num w:numId="8" w16cid:durableId="5136870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0026098">
    <w:abstractNumId w:val="1"/>
  </w:num>
  <w:num w:numId="10" w16cid:durableId="555776967">
    <w:abstractNumId w:val="13"/>
  </w:num>
  <w:num w:numId="11" w16cid:durableId="1514219210">
    <w:abstractNumId w:val="10"/>
  </w:num>
  <w:num w:numId="12" w16cid:durableId="2078552476">
    <w:abstractNumId w:val="15"/>
  </w:num>
  <w:num w:numId="13" w16cid:durableId="1343243821">
    <w:abstractNumId w:val="5"/>
  </w:num>
  <w:num w:numId="14" w16cid:durableId="1356613079">
    <w:abstractNumId w:val="3"/>
  </w:num>
  <w:num w:numId="15" w16cid:durableId="194198824">
    <w:abstractNumId w:val="0"/>
  </w:num>
  <w:num w:numId="16" w16cid:durableId="283079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918DF"/>
    <w:rsid w:val="001B2836"/>
    <w:rsid w:val="00227E70"/>
    <w:rsid w:val="00243C82"/>
    <w:rsid w:val="002801B6"/>
    <w:rsid w:val="00284025"/>
    <w:rsid w:val="002A5E20"/>
    <w:rsid w:val="002B65F3"/>
    <w:rsid w:val="002D416B"/>
    <w:rsid w:val="003300B2"/>
    <w:rsid w:val="003516C7"/>
    <w:rsid w:val="003921F4"/>
    <w:rsid w:val="003A1643"/>
    <w:rsid w:val="003C30C8"/>
    <w:rsid w:val="00434BB6"/>
    <w:rsid w:val="00451F32"/>
    <w:rsid w:val="004B3C45"/>
    <w:rsid w:val="004B7F71"/>
    <w:rsid w:val="00534816"/>
    <w:rsid w:val="005357C0"/>
    <w:rsid w:val="00577DFC"/>
    <w:rsid w:val="005A2493"/>
    <w:rsid w:val="005C6C4E"/>
    <w:rsid w:val="005D112E"/>
    <w:rsid w:val="005D182F"/>
    <w:rsid w:val="005D7F25"/>
    <w:rsid w:val="005E3A16"/>
    <w:rsid w:val="005E70CA"/>
    <w:rsid w:val="006466CB"/>
    <w:rsid w:val="0065350C"/>
    <w:rsid w:val="006B3BBF"/>
    <w:rsid w:val="006D2B4C"/>
    <w:rsid w:val="006F7EE1"/>
    <w:rsid w:val="00706CE8"/>
    <w:rsid w:val="0075659D"/>
    <w:rsid w:val="00787E68"/>
    <w:rsid w:val="007A6D8C"/>
    <w:rsid w:val="007C6248"/>
    <w:rsid w:val="007D5EE0"/>
    <w:rsid w:val="00806A63"/>
    <w:rsid w:val="0083529E"/>
    <w:rsid w:val="0083789F"/>
    <w:rsid w:val="0084240C"/>
    <w:rsid w:val="0088620D"/>
    <w:rsid w:val="00904CBD"/>
    <w:rsid w:val="00971BDA"/>
    <w:rsid w:val="0097590F"/>
    <w:rsid w:val="00986F05"/>
    <w:rsid w:val="009C069D"/>
    <w:rsid w:val="009E2B2C"/>
    <w:rsid w:val="00A12538"/>
    <w:rsid w:val="00A215AC"/>
    <w:rsid w:val="00B17A95"/>
    <w:rsid w:val="00B21DD8"/>
    <w:rsid w:val="00B5253E"/>
    <w:rsid w:val="00B57267"/>
    <w:rsid w:val="00B74495"/>
    <w:rsid w:val="00B76E77"/>
    <w:rsid w:val="00BA6E27"/>
    <w:rsid w:val="00BB3A04"/>
    <w:rsid w:val="00BF222E"/>
    <w:rsid w:val="00C21482"/>
    <w:rsid w:val="00C246F6"/>
    <w:rsid w:val="00CD4406"/>
    <w:rsid w:val="00D54734"/>
    <w:rsid w:val="00D70B62"/>
    <w:rsid w:val="00D93C4D"/>
    <w:rsid w:val="00DD680A"/>
    <w:rsid w:val="00E148BF"/>
    <w:rsid w:val="00EE2497"/>
    <w:rsid w:val="00EE46C9"/>
    <w:rsid w:val="00F40832"/>
    <w:rsid w:val="00F51D6A"/>
    <w:rsid w:val="00F7595C"/>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1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semiHidden/>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34816"/>
    <w:pPr>
      <w:ind w:left="720"/>
      <w:contextualSpacing/>
      <w:jc w:val="both"/>
    </w:pPr>
    <w:rPr>
      <w:rFonts w:ascii="Arial" w:hAnsi="Arial"/>
      <w:szCs w:val="22"/>
      <w:lang w:val="en-US"/>
    </w:rPr>
  </w:style>
  <w:style w:type="table" w:customStyle="1" w:styleId="TableGrid1">
    <w:name w:val="Table Grid1"/>
    <w:basedOn w:val="TableNormal"/>
    <w:next w:val="TableGrid"/>
    <w:uiPriority w:val="59"/>
    <w:rsid w:val="006D2B4C"/>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93C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613056375">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 w:id="20084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5376F3596F144AB0986FDFC04E4E4" ma:contentTypeVersion="4" ma:contentTypeDescription="Create a new document." ma:contentTypeScope="" ma:versionID="cbae414d137930df48550922138929e2">
  <xsd:schema xmlns:xsd="http://www.w3.org/2001/XMLSchema" xmlns:xs="http://www.w3.org/2001/XMLSchema" xmlns:p="http://schemas.microsoft.com/office/2006/metadata/properties" xmlns:ns2="e168b4e3-737f-4bcd-ab94-c7ad1aee72f1" xmlns:ns3="ebebbe82-c2a2-4530-a37e-828a2b0516ff" targetNamespace="http://schemas.microsoft.com/office/2006/metadata/properties" ma:root="true" ma:fieldsID="d8950f4e96f7ecda8d8f0904b10eac4b" ns2:_="" ns3:_="">
    <xsd:import namespace="e168b4e3-737f-4bcd-ab94-c7ad1aee72f1"/>
    <xsd:import namespace="ebebbe82-c2a2-4530-a37e-828a2b051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bbe82-c2a2-4530-a37e-828a2b051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D2D6F83F-C381-4F3B-81F4-590903E9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ebebbe82-c2a2-4530-a37e-828a2b051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3.xml><?xml version="1.0" encoding="utf-8"?>
<ds:datastoreItem xmlns:ds="http://schemas.openxmlformats.org/officeDocument/2006/customXml" ds:itemID="{16ADEFAC-CD15-47BD-9F17-0489E77EDA38}">
  <ds:schemaRefs>
    <ds:schemaRef ds:uri="ebebbe82-c2a2-4530-a37e-828a2b0516ff"/>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e168b4e3-737f-4bcd-ab94-c7ad1aee72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3</cp:revision>
  <cp:lastPrinted>2019-12-02T14:43:00Z</cp:lastPrinted>
  <dcterms:created xsi:type="dcterms:W3CDTF">2022-06-06T15:51:00Z</dcterms:created>
  <dcterms:modified xsi:type="dcterms:W3CDTF">2022-06-08T12:43:00Z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0x0101001CF5376F3596F144AB0986FDFC04E4E4</vt:lpwstr>
  </property>
  <property fmtid="{D5CDD505-2E9C-101B-9397-08002B2CF9AE}" pid="3" name="Order">
    <vt:r8>242800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