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B2B8C" w14:textId="6F024ABF" w:rsidR="5BB8DAE4" w:rsidRDefault="5BB8DAE4" w:rsidP="5BB8DAE4">
      <w:bookmarkStart w:id="0" w:name="_GoBack"/>
      <w:bookmarkEnd w:id="0"/>
    </w:p>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lang w:eastAsia="en-GB"/>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1"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1"/>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2"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2"/>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3"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3"/>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4"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5"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4"/>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5"/>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6E73273C"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1C4307">
              <w:rPr>
                <w:rFonts w:asciiTheme="minorHAnsi" w:hAnsiTheme="minorHAnsi" w:cstheme="minorHAnsi"/>
                <w:b/>
                <w:sz w:val="20"/>
                <w:szCs w:val="20"/>
                <w:shd w:val="clear" w:color="auto" w:fill="FFFFFF" w:themeFill="background1"/>
              </w:rPr>
              <w:t>:  s.allport@lsg.kevibham.org</w:t>
            </w:r>
          </w:p>
          <w:p w14:paraId="02777222" w14:textId="77777777" w:rsidR="005E1908" w:rsidRPr="005E1908" w:rsidRDefault="005E1908" w:rsidP="00011311">
            <w:pPr>
              <w:rPr>
                <w:rFonts w:asciiTheme="minorHAnsi" w:hAnsiTheme="minorHAnsi" w:cs="Arial"/>
                <w:sz w:val="20"/>
                <w:szCs w:val="20"/>
              </w:rPr>
            </w:pPr>
          </w:p>
          <w:p w14:paraId="61AFB443" w14:textId="379AE96B" w:rsidR="001F7D93" w:rsidRPr="005E1908" w:rsidRDefault="005E1908" w:rsidP="001C4307">
            <w:pPr>
              <w:rPr>
                <w:rFonts w:asciiTheme="minorHAnsi" w:hAnsiTheme="minorHAnsi" w:cs="Arial"/>
                <w:b/>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1C4307" w:rsidRPr="001C4307">
              <w:rPr>
                <w:rFonts w:asciiTheme="minorHAnsi" w:hAnsiTheme="minorHAnsi" w:cs="Arial"/>
                <w:b/>
                <w:sz w:val="20"/>
                <w:szCs w:val="20"/>
              </w:rPr>
              <w:t>King Edward VI Lordswood School for Girls, Knightlow Road, Harborne, Birmingham B17 8QB</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CD87" w14:textId="7AE0882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DA620C">
      <w:rPr>
        <w:rStyle w:val="PageNumber"/>
        <w:rFonts w:asciiTheme="minorHAnsi" w:hAnsiTheme="minorHAnsi"/>
        <w:noProof/>
        <w:sz w:val="22"/>
        <w:szCs w:val="22"/>
      </w:rPr>
      <w:t>7</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43"/>
    <w:rsid w:val="00011311"/>
    <w:rsid w:val="00063395"/>
    <w:rsid w:val="00086319"/>
    <w:rsid w:val="00094145"/>
    <w:rsid w:val="000C748A"/>
    <w:rsid w:val="000E38BC"/>
    <w:rsid w:val="000E5A5A"/>
    <w:rsid w:val="001445CE"/>
    <w:rsid w:val="00160556"/>
    <w:rsid w:val="00195E31"/>
    <w:rsid w:val="001C1B88"/>
    <w:rsid w:val="001C4307"/>
    <w:rsid w:val="001C7FD7"/>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541B5"/>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51051"/>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60A75"/>
    <w:rsid w:val="00D806EA"/>
    <w:rsid w:val="00D9230D"/>
    <w:rsid w:val="00DA620C"/>
    <w:rsid w:val="00DA7918"/>
    <w:rsid w:val="00DD38FE"/>
    <w:rsid w:val="00DD702A"/>
    <w:rsid w:val="00DF2556"/>
    <w:rsid w:val="00E3363F"/>
    <w:rsid w:val="00E643D2"/>
    <w:rsid w:val="00E722BF"/>
    <w:rsid w:val="00E72D8B"/>
    <w:rsid w:val="00EB48B9"/>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customStyle="1"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91AC-6BFD-4E03-98E2-2DC0CD193087}">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ac6c1b8-d098-42b4-b2bb-e6380a203255"/>
    <ds:schemaRef ds:uri="http://schemas.openxmlformats.org/package/2006/metadata/core-properties"/>
    <ds:schemaRef ds:uri="277a4efc-b335-4715-a85e-c272f7b3e403"/>
    <ds:schemaRef ds:uri="http://www.w3.org/XML/1998/namespace"/>
    <ds:schemaRef ds:uri="http://purl.org/dc/dcmitype/"/>
  </ds:schemaRefs>
</ds:datastoreItem>
</file>

<file path=customXml/itemProps2.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812326ED-6764-40D9-9495-68288797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Sheila Allport</cp:lastModifiedBy>
  <cp:revision>2</cp:revision>
  <cp:lastPrinted>2019-10-21T12:41:00Z</cp:lastPrinted>
  <dcterms:created xsi:type="dcterms:W3CDTF">2022-11-28T11:49:00Z</dcterms:created>
  <dcterms:modified xsi:type="dcterms:W3CDTF">2022-11-28T11:49:00Z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