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2E76634E" w:rsidR="00512FFE" w:rsidRDefault="008C22B5" w:rsidP="00743758">
      <w:pPr>
        <w:rPr>
          <w:rFonts w:cstheme="minorHAnsi"/>
          <w:sz w:val="48"/>
          <w:szCs w:val="48"/>
        </w:rPr>
      </w:pPr>
      <w:r>
        <w:rPr>
          <w:rFonts w:cstheme="minorHAnsi"/>
          <w:sz w:val="48"/>
          <w:szCs w:val="48"/>
        </w:rPr>
        <w:t xml:space="preserve">Teacher of </w:t>
      </w:r>
      <w:r w:rsidR="00820F71">
        <w:rPr>
          <w:rFonts w:cstheme="minorHAnsi"/>
          <w:sz w:val="48"/>
          <w:szCs w:val="48"/>
        </w:rPr>
        <w:t>Math</w:t>
      </w:r>
      <w:r w:rsidR="00081534">
        <w:rPr>
          <w:rFonts w:cstheme="minorHAnsi"/>
          <w:sz w:val="48"/>
          <w:szCs w:val="48"/>
        </w:rPr>
        <w:t>ematics</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52A50C35"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 xml:space="preserve">Teacher of </w:t>
      </w:r>
      <w:r w:rsidR="00820F71">
        <w:rPr>
          <w:rFonts w:ascii="Calibri" w:eastAsia="Times New Roman" w:hAnsi="Calibri" w:cs="Calibri"/>
          <w:b/>
          <w:caps/>
          <w:lang w:eastAsia="en-GB"/>
        </w:rPr>
        <w:t>math</w:t>
      </w:r>
      <w:r w:rsidR="00081534">
        <w:rPr>
          <w:rFonts w:ascii="Calibri" w:eastAsia="Times New Roman" w:hAnsi="Calibri" w:cs="Calibri"/>
          <w:b/>
          <w:caps/>
          <w:lang w:eastAsia="en-GB"/>
        </w:rPr>
        <w:t>ematics</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5760659" w14:textId="2B4426D6" w:rsidR="001A711A" w:rsidRPr="001A711A" w:rsidRDefault="001A711A" w:rsidP="001A711A">
      <w:pPr>
        <w:spacing w:after="0" w:line="240" w:lineRule="auto"/>
        <w:rPr>
          <w:rFonts w:ascii="Calibri" w:eastAsia="Times New Roman" w:hAnsi="Calibri" w:cs="Calibri"/>
          <w:bCs/>
          <w:lang w:eastAsia="en-GB"/>
        </w:rPr>
      </w:pPr>
      <w:r w:rsidRPr="001A711A">
        <w:rPr>
          <w:rFonts w:ascii="Calibri" w:eastAsia="Times New Roman" w:hAnsi="Calibri" w:cs="Calibri"/>
          <w:b/>
          <w:lang w:eastAsia="en-GB"/>
        </w:rPr>
        <w:t>Salary:</w:t>
      </w:r>
      <w:r w:rsidRPr="001A711A">
        <w:rPr>
          <w:rFonts w:ascii="Calibri" w:eastAsia="Times New Roman" w:hAnsi="Calibri" w:cs="Calibri"/>
          <w:bCs/>
          <w:lang w:eastAsia="en-GB"/>
        </w:rPr>
        <w:t xml:space="preserve"> Pay range between £31,650 – £49,084 (ECT – Upper Pay Range) per annum according to the Academy Pay Policy</w:t>
      </w:r>
      <w:r>
        <w:rPr>
          <w:rFonts w:ascii="Calibri" w:eastAsia="Times New Roman" w:hAnsi="Calibri" w:cs="Calibri"/>
          <w:bCs/>
          <w:lang w:eastAsia="en-GB"/>
        </w:rPr>
        <w:t>.</w:t>
      </w:r>
    </w:p>
    <w:p w14:paraId="7BDE5EB1"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 xml:space="preserve">Hours of work: </w:t>
      </w:r>
      <w:r w:rsidRPr="001A711A">
        <w:rPr>
          <w:rFonts w:ascii="Calibri" w:eastAsia="Times New Roman" w:hAnsi="Calibri" w:cs="Calibri"/>
          <w:lang w:eastAsia="en-GB"/>
        </w:rPr>
        <w:t xml:space="preserve">32.5hours per week, Monday to Friday </w:t>
      </w:r>
    </w:p>
    <w:p w14:paraId="1CE3AEC1" w14:textId="77777777" w:rsidR="001A711A" w:rsidRPr="001A711A" w:rsidRDefault="001A711A" w:rsidP="001A711A">
      <w:pPr>
        <w:spacing w:after="0" w:line="240" w:lineRule="auto"/>
        <w:rPr>
          <w:rFonts w:ascii="Calibri" w:eastAsia="Times New Roman" w:hAnsi="Calibri" w:cs="Calibri"/>
          <w:bCs/>
          <w:lang w:eastAsia="en-GB"/>
        </w:rPr>
      </w:pPr>
      <w:r w:rsidRPr="001A711A">
        <w:rPr>
          <w:rFonts w:ascii="Calibri" w:eastAsia="Times New Roman" w:hAnsi="Calibri" w:cs="Calibri"/>
          <w:b/>
          <w:lang w:eastAsia="en-GB"/>
        </w:rPr>
        <w:t>Contract:</w:t>
      </w:r>
      <w:r w:rsidRPr="001A711A">
        <w:rPr>
          <w:rFonts w:ascii="Calibri" w:eastAsia="Times New Roman" w:hAnsi="Calibri" w:cs="Calibri"/>
          <w:bCs/>
          <w:lang w:eastAsia="en-GB"/>
        </w:rPr>
        <w:t xml:space="preserve"> Full Time </w:t>
      </w:r>
    </w:p>
    <w:p w14:paraId="65B3DEBA"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Responsible to:</w:t>
      </w:r>
      <w:r w:rsidRPr="001A711A">
        <w:rPr>
          <w:rFonts w:ascii="Calibri" w:eastAsia="Times New Roman" w:hAnsi="Calibri" w:cs="Calibri"/>
          <w:bCs/>
          <w:lang w:eastAsia="en-GB"/>
        </w:rPr>
        <w:t xml:space="preserve"> </w:t>
      </w:r>
      <w:r w:rsidRPr="001A711A">
        <w:rPr>
          <w:rFonts w:ascii="Calibri" w:eastAsia="Times New Roman" w:hAnsi="Calibri" w:cs="Calibri"/>
          <w:bCs/>
          <w:iCs/>
          <w:lang w:eastAsia="en-GB"/>
        </w:rPr>
        <w:t>Head of Faculty – Assistant Headteacher</w:t>
      </w:r>
    </w:p>
    <w:p w14:paraId="407483C0"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 xml:space="preserve">Start Date: </w:t>
      </w:r>
      <w:r w:rsidRPr="001A711A">
        <w:rPr>
          <w:rFonts w:ascii="Calibri" w:eastAsia="Times New Roman" w:hAnsi="Calibri" w:cs="Calibri"/>
          <w:lang w:eastAsia="en-GB"/>
        </w:rPr>
        <w:t xml:space="preserve"> Easter 2025 or September 2025</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03F2FFA1"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w:t>
      </w:r>
      <w:r w:rsidR="000D26D5">
        <w:rPr>
          <w:rFonts w:ascii="Calibri" w:eastAsia="Times New Roman" w:hAnsi="Calibri" w:cs="Calibri"/>
          <w:shd w:val="clear" w:color="auto" w:fill="FFFFFF"/>
          <w:lang w:val="en-US" w:eastAsia="zh-CN"/>
        </w:rPr>
        <w:t>March 2024</w:t>
      </w:r>
      <w:r w:rsidRPr="007D6EA3">
        <w:rPr>
          <w:rFonts w:ascii="Calibri" w:eastAsia="Times New Roman" w:hAnsi="Calibri" w:cs="Calibri"/>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5C862FDC"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 xml:space="preserve">We are seeking to appoint an outstanding Teacher of </w:t>
      </w:r>
      <w:r w:rsidR="00820F71">
        <w:rPr>
          <w:rFonts w:ascii="Calibri" w:eastAsia="Times New Roman" w:hAnsi="Calibri" w:cs="Calibri"/>
          <w:shd w:val="clear" w:color="auto" w:fill="FFFFFF"/>
          <w:lang w:val="en-US" w:eastAsia="zh-CN"/>
        </w:rPr>
        <w:t>Math</w:t>
      </w:r>
      <w:r w:rsidR="00081534">
        <w:rPr>
          <w:rFonts w:ascii="Calibri" w:eastAsia="Times New Roman" w:hAnsi="Calibri" w:cs="Calibri"/>
          <w:shd w:val="clear" w:color="auto" w:fill="FFFFFF"/>
          <w:lang w:val="en-US" w:eastAsia="zh-CN"/>
        </w:rPr>
        <w:t>ematics</w:t>
      </w:r>
      <w:r w:rsidRPr="007D6EA3">
        <w:rPr>
          <w:rFonts w:ascii="Calibri" w:eastAsia="Times New Roman" w:hAnsi="Calibri" w:cs="Calibri"/>
          <w:shd w:val="clear" w:color="auto" w:fill="FFFFFF"/>
          <w:lang w:val="en-US" w:eastAsia="zh-CN"/>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02F8C1F3" w14:textId="77777777" w:rsidR="001A711A" w:rsidRPr="001A711A" w:rsidRDefault="001A711A" w:rsidP="001A711A">
      <w:pPr>
        <w:spacing w:after="0" w:line="240" w:lineRule="auto"/>
        <w:jc w:val="both"/>
        <w:rPr>
          <w:rFonts w:ascii="Calibri" w:eastAsia="Times New Roman" w:hAnsi="Calibri" w:cs="Calibri"/>
          <w:lang w:eastAsia="en-GB"/>
        </w:rPr>
      </w:pPr>
      <w:r w:rsidRPr="001A711A">
        <w:rPr>
          <w:rFonts w:ascii="Calibri" w:eastAsia="Times New Roman" w:hAnsi="Calibri" w:cs="Calibri"/>
          <w:b/>
          <w:lang w:val="en" w:eastAsia="en-GB"/>
        </w:rPr>
        <w:t xml:space="preserve">CLOSING DATE: </w:t>
      </w:r>
      <w:bookmarkStart w:id="2" w:name="_Hlk160787878"/>
      <w:r w:rsidRPr="001A711A">
        <w:rPr>
          <w:rFonts w:ascii="Calibri" w:eastAsia="Times New Roman" w:hAnsi="Calibri" w:cs="Calibri"/>
          <w:lang w:val="en" w:eastAsia="en-GB"/>
        </w:rPr>
        <w:t>Monday 3</w:t>
      </w:r>
      <w:r w:rsidRPr="001A711A">
        <w:rPr>
          <w:rFonts w:ascii="Calibri" w:eastAsia="Times New Roman" w:hAnsi="Calibri" w:cs="Calibri"/>
          <w:vertAlign w:val="superscript"/>
          <w:lang w:val="en" w:eastAsia="en-GB"/>
        </w:rPr>
        <w:t>rd</w:t>
      </w:r>
      <w:r w:rsidRPr="001A711A">
        <w:rPr>
          <w:rFonts w:ascii="Calibri" w:eastAsia="Times New Roman" w:hAnsi="Calibri" w:cs="Calibri"/>
          <w:lang w:val="en" w:eastAsia="en-GB"/>
        </w:rPr>
        <w:t xml:space="preserve"> February 2025 at 12 noon.</w:t>
      </w:r>
      <w:bookmarkEnd w:id="2"/>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45C7352B"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w:t>
      </w:r>
      <w:r w:rsidR="001A711A" w:rsidRPr="001A711A">
        <w:rPr>
          <w:rFonts w:ascii="Calibri" w:eastAsia="Times New Roman" w:hAnsi="Calibri" w:cs="Calibri"/>
          <w:lang w:eastAsia="en-GB"/>
        </w:rPr>
        <w:t>Monday 3</w:t>
      </w:r>
      <w:r w:rsidR="001A711A" w:rsidRPr="001A711A">
        <w:rPr>
          <w:rFonts w:ascii="Calibri" w:eastAsia="Times New Roman" w:hAnsi="Calibri" w:cs="Calibri"/>
          <w:vertAlign w:val="superscript"/>
          <w:lang w:eastAsia="en-GB"/>
        </w:rPr>
        <w:t>rd</w:t>
      </w:r>
      <w:r w:rsidR="001A711A">
        <w:rPr>
          <w:rFonts w:ascii="Calibri" w:eastAsia="Times New Roman" w:hAnsi="Calibri" w:cs="Calibri"/>
          <w:lang w:eastAsia="en-GB"/>
        </w:rPr>
        <w:t xml:space="preserve"> </w:t>
      </w:r>
      <w:r w:rsidR="001A711A" w:rsidRPr="001A711A">
        <w:rPr>
          <w:rFonts w:ascii="Calibri" w:eastAsia="Times New Roman" w:hAnsi="Calibri" w:cs="Calibri"/>
          <w:lang w:eastAsia="en-GB"/>
        </w:rPr>
        <w:t>February 2025 at 12 noon.</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20268A4" w:rsidR="007D6EA3" w:rsidRDefault="001A711A" w:rsidP="00317A86">
      <w:pPr>
        <w:spacing w:before="80" w:after="80" w:line="240" w:lineRule="auto"/>
        <w:jc w:val="center"/>
        <w:rPr>
          <w:rFonts w:cstheme="minorHAnsi"/>
          <w:b/>
          <w:bCs/>
          <w:sz w:val="24"/>
          <w:szCs w:val="24"/>
        </w:rPr>
      </w:pPr>
      <w:r>
        <w:rPr>
          <w:rFonts w:cstheme="minorHAnsi"/>
          <w:b/>
          <w:bCs/>
          <w:noProof/>
          <w:sz w:val="24"/>
          <w:szCs w:val="24"/>
        </w:rPr>
        <w:drawing>
          <wp:inline distT="0" distB="0" distL="0" distR="0" wp14:anchorId="20718944" wp14:editId="607134C6">
            <wp:extent cx="1213485" cy="5549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inline>
        </w:drawing>
      </w:r>
    </w:p>
    <w:p w14:paraId="26B28CA5" w14:textId="77777777" w:rsidR="007D6EA3" w:rsidRDefault="007D6EA3" w:rsidP="00317A86">
      <w:pPr>
        <w:spacing w:before="80" w:after="80" w:line="240" w:lineRule="auto"/>
        <w:jc w:val="center"/>
        <w:rPr>
          <w:rFonts w:cstheme="minorHAnsi"/>
          <w:b/>
          <w:bCs/>
          <w:sz w:val="24"/>
          <w:szCs w:val="24"/>
        </w:rPr>
      </w:pPr>
    </w:p>
    <w:p w14:paraId="2E01F8F3"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lastRenderedPageBreak/>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3"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4"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5"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81534"/>
    <w:rsid w:val="000D26D5"/>
    <w:rsid w:val="000D54FA"/>
    <w:rsid w:val="000E5EDC"/>
    <w:rsid w:val="00181994"/>
    <w:rsid w:val="00184AB3"/>
    <w:rsid w:val="001A3276"/>
    <w:rsid w:val="001A711A"/>
    <w:rsid w:val="001B5DE0"/>
    <w:rsid w:val="001E2BA5"/>
    <w:rsid w:val="00215213"/>
    <w:rsid w:val="00236ED3"/>
    <w:rsid w:val="002660C4"/>
    <w:rsid w:val="00275534"/>
    <w:rsid w:val="00285121"/>
    <w:rsid w:val="002F6BE5"/>
    <w:rsid w:val="003064A1"/>
    <w:rsid w:val="00316FD5"/>
    <w:rsid w:val="00317A86"/>
    <w:rsid w:val="00331A97"/>
    <w:rsid w:val="00390B6D"/>
    <w:rsid w:val="003D70D3"/>
    <w:rsid w:val="00412516"/>
    <w:rsid w:val="00424875"/>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0F71"/>
    <w:rsid w:val="008240C7"/>
    <w:rsid w:val="00832EB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2025-01-17T09:43:00Z</dcterms:created>
  <dcterms:modified xsi:type="dcterms:W3CDTF">2025-01-17T09:43:00Z</dcterms:modified>
</cp:coreProperties>
</file>