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22503" w14:textId="47883489" w:rsidR="003A64A2" w:rsidRPr="00FD551E" w:rsidRDefault="00FD551E" w:rsidP="003A64A2">
      <w:pPr>
        <w:spacing w:after="0"/>
        <w:jc w:val="center"/>
        <w:rPr>
          <w:b/>
          <w:color w:val="990000"/>
        </w:rPr>
      </w:pPr>
      <w:r w:rsidRPr="00FD551E">
        <w:rPr>
          <w:b/>
          <w:color w:val="990000"/>
          <w:sz w:val="40"/>
          <w:szCs w:val="40"/>
        </w:rPr>
        <w:t xml:space="preserve">Department Information- </w:t>
      </w:r>
      <w:r w:rsidR="003A64A2" w:rsidRPr="00FD551E">
        <w:rPr>
          <w:b/>
          <w:color w:val="990000"/>
          <w:sz w:val="40"/>
          <w:szCs w:val="40"/>
        </w:rPr>
        <w:t xml:space="preserve">Mathematics </w:t>
      </w:r>
    </w:p>
    <w:p w14:paraId="55E2D1DC" w14:textId="77777777" w:rsidR="003A64A2" w:rsidRPr="00EC43F4" w:rsidRDefault="003A64A2" w:rsidP="003A64A2">
      <w:pPr>
        <w:spacing w:after="0"/>
        <w:jc w:val="both"/>
        <w:rPr>
          <w:rFonts w:cstheme="minorHAnsi"/>
          <w:sz w:val="16"/>
          <w:szCs w:val="16"/>
        </w:rPr>
      </w:pPr>
    </w:p>
    <w:p w14:paraId="7999C2BB" w14:textId="644E35A1" w:rsidR="003A64A2" w:rsidRPr="00B70678" w:rsidRDefault="003A64A2" w:rsidP="003A64A2">
      <w:pPr>
        <w:ind w:hanging="2"/>
        <w:jc w:val="both"/>
        <w:rPr>
          <w:rFonts w:ascii="Calibri" w:hAnsi="Calibri"/>
          <w:color w:val="000000"/>
          <w:sz w:val="22"/>
          <w:szCs w:val="22"/>
        </w:rPr>
      </w:pPr>
      <w:r>
        <w:rPr>
          <w:color w:val="000000"/>
        </w:rPr>
        <w:t>Mathematics at Hinchley Wood School is a strong and thriving department, staffed by highly qualified, professional and caring teachers. As Ofsted stated the department has “Rich subject knowledge, delivered with individual style but common identity.”</w:t>
      </w:r>
    </w:p>
    <w:p w14:paraId="1AD069A9" w14:textId="77777777" w:rsidR="003A64A2" w:rsidRDefault="003A64A2" w:rsidP="003A64A2">
      <w:pPr>
        <w:ind w:hanging="2"/>
        <w:jc w:val="both"/>
        <w:rPr>
          <w:color w:val="000000"/>
        </w:rPr>
      </w:pPr>
      <w:r w:rsidRPr="00740C96">
        <w:rPr>
          <w:color w:val="000000"/>
        </w:rPr>
        <w:t>Examination results at all levels are well above national averages and are expected to continue on an upward trend. In summer 202</w:t>
      </w:r>
      <w:r w:rsidRPr="00740C96">
        <w:t>3</w:t>
      </w:r>
      <w:r w:rsidRPr="00740C96">
        <w:rPr>
          <w:color w:val="000000"/>
        </w:rPr>
        <w:t xml:space="preserve">, 90% of the Year 11 cohort achieved Grade 4+ with 42% at grade 7+. </w:t>
      </w:r>
    </w:p>
    <w:p w14:paraId="48723742" w14:textId="507033A2" w:rsidR="003A64A2" w:rsidRDefault="003A64A2" w:rsidP="003A64A2">
      <w:pPr>
        <w:ind w:hanging="2"/>
        <w:jc w:val="both"/>
      </w:pPr>
      <w:r>
        <w:t>Mathematics is very popular at A-Level where the Edexcel Examining Board provides a specification proven to be accessible to all students on the course.  Results are consistently high and students are self-motivated</w:t>
      </w:r>
      <w:r w:rsidRPr="00740C96">
        <w:t>.  A-level mathematics, Core Maths &amp; Further Mathematics are offered in the Sixth form.  Results in 2023 included 88% of students achieving A*-C grades with 59% of them gaining an A*-A for Mathematics.</w:t>
      </w:r>
      <w:r>
        <w:t>  The majority of A-Level students proceed to university education, some to follow pure mathematics degrees whilst nearly all have opted for a maths/science-based degree; the most popular are engineering, physics, veterinary science, medicine, economics and business.</w:t>
      </w:r>
    </w:p>
    <w:p w14:paraId="60BEC806" w14:textId="4AECB6F8" w:rsidR="003A64A2" w:rsidRDefault="003A64A2" w:rsidP="003A64A2">
      <w:pPr>
        <w:ind w:hanging="2"/>
        <w:jc w:val="both"/>
        <w:rPr>
          <w:color w:val="000000"/>
        </w:rPr>
      </w:pPr>
      <w:r>
        <w:rPr>
          <w:color w:val="000000"/>
        </w:rPr>
        <w:t xml:space="preserve">The mathematics department is housed in its own suite of classrooms, which are all close to the department’s resource centre and staff room.  All staff have their own teaching base and shared office space is available for colleagues to work in a comfortable and informal environment. In addition, all classrooms are equipped with PCs, interactive whiteboards &amp; visualisers.  There are many software packages that the department uses to enhance their teaching, and we regularly share resources and good practice. </w:t>
      </w:r>
    </w:p>
    <w:p w14:paraId="120C8159" w14:textId="6455EFF0" w:rsidR="003A64A2" w:rsidRPr="00B70678" w:rsidRDefault="003A64A2" w:rsidP="003A64A2">
      <w:pPr>
        <w:ind w:hanging="2"/>
        <w:jc w:val="both"/>
        <w:rPr>
          <w:color w:val="000000"/>
        </w:rPr>
      </w:pPr>
      <w:r>
        <w:rPr>
          <w:color w:val="000000"/>
        </w:rPr>
        <w:t xml:space="preserve">The department has access to two well-equipped ICT rooms; we also utilise on-line resources such as </w:t>
      </w:r>
      <w:proofErr w:type="spellStart"/>
      <w:r w:rsidR="00740C96">
        <w:rPr>
          <w:color w:val="000000"/>
        </w:rPr>
        <w:t>Sparx</w:t>
      </w:r>
      <w:proofErr w:type="spellEnd"/>
      <w:r w:rsidR="00740C96">
        <w:rPr>
          <w:color w:val="000000"/>
        </w:rPr>
        <w:t xml:space="preserve"> Maths </w:t>
      </w:r>
      <w:r>
        <w:rPr>
          <w:color w:val="000000"/>
        </w:rPr>
        <w:t xml:space="preserve">and </w:t>
      </w:r>
      <w:proofErr w:type="spellStart"/>
      <w:r>
        <w:rPr>
          <w:color w:val="000000"/>
        </w:rPr>
        <w:t>Mathswatch</w:t>
      </w:r>
      <w:proofErr w:type="spellEnd"/>
      <w:r>
        <w:rPr>
          <w:color w:val="000000"/>
        </w:rPr>
        <w:t>. We are fortunate to possess a multitude of numeracy resources such as mini-whiteboards, number fans and various number cards, which have all helped with the development of direct interactive teaching.</w:t>
      </w:r>
    </w:p>
    <w:p w14:paraId="04CAEDC8" w14:textId="77777777" w:rsidR="003A64A2" w:rsidRDefault="003A64A2" w:rsidP="003A64A2">
      <w:pPr>
        <w:ind w:hanging="2"/>
        <w:jc w:val="both"/>
      </w:pPr>
      <w:r>
        <w:t xml:space="preserve">Students in Year 7 are taught in mixed ability groups and from Year 8 onwards they are taught in ability sets. There are 8 sets in years 8 and 10 sets in years 9-11; this helps to limit class sizes especially for those who find maths more challenging.  Students are assessed on a regular basis, and set movements are made accordingly.  The emphasis in the department is learning through enjoyable, well-planned lessons.  Students are highly motivated and react well to being stretched and challenged. The Ofsted inspector commented particularly on the fact that there was genuine enjoyment from the students to study and learn Maths. </w:t>
      </w:r>
    </w:p>
    <w:p w14:paraId="7810B8D7" w14:textId="0C82EAF2" w:rsidR="003A64A2" w:rsidRPr="00D66F22" w:rsidRDefault="003A64A2" w:rsidP="003A64A2">
      <w:pPr>
        <w:ind w:hanging="2"/>
        <w:jc w:val="both"/>
        <w:rPr>
          <w:rFonts w:cstheme="minorHAnsi"/>
        </w:rPr>
      </w:pPr>
      <w:r>
        <w:t>Within the department there is a strong belief that administration should be kept to a minimum.  Schemes of work and associated module tests are all up-to-date, fully computerised and compliant to all the current national guidelines.  Department meetings are held approximately every four weeks and are generally used to share good practice to improve the teaching and learning that goes on within the classroom.   The department has an ethos that teachers should be given time to prepare thought-</w:t>
      </w:r>
      <w:r w:rsidRPr="00D66F22">
        <w:rPr>
          <w:rFonts w:cstheme="minorHAnsi"/>
        </w:rPr>
        <w:t xml:space="preserve">provoking enjoyable and challenging lessons. </w:t>
      </w:r>
    </w:p>
    <w:p w14:paraId="3490103C" w14:textId="77777777" w:rsidR="003A64A2" w:rsidRPr="00B9488D" w:rsidRDefault="003A64A2" w:rsidP="003A64A2">
      <w:pPr>
        <w:pStyle w:val="Heading1"/>
      </w:pPr>
      <w:r w:rsidRPr="00D66F22">
        <w:lastRenderedPageBreak/>
        <w:t>Key Stage 3</w:t>
      </w:r>
    </w:p>
    <w:p w14:paraId="6818C8B8" w14:textId="5E466942" w:rsidR="003A64A2" w:rsidRPr="003A64A2" w:rsidRDefault="003A64A2" w:rsidP="003A64A2">
      <w:pPr>
        <w:jc w:val="both"/>
        <w:rPr>
          <w:rFonts w:ascii="Calibri" w:hAnsi="Calibri"/>
          <w:color w:val="000000"/>
        </w:rPr>
      </w:pPr>
      <w:r>
        <w:t xml:space="preserve">Whilst the SATs exams have now ceased to exist, the high standard of results continued last year in </w:t>
      </w:r>
      <w:r>
        <w:rPr>
          <w:color w:val="000000"/>
        </w:rPr>
        <w:t xml:space="preserve">the </w:t>
      </w:r>
      <w:hyperlink r:id="rId6" w:history="1">
        <w:r>
          <w:rPr>
            <w:rStyle w:val="Hyperlink"/>
            <w:color w:val="000000"/>
          </w:rPr>
          <w:t>end</w:t>
        </w:r>
      </w:hyperlink>
      <w:r>
        <w:rPr>
          <w:color w:val="000000"/>
        </w:rPr>
        <w:t xml:space="preserve"> of KS3 exams. Students are given a starting point which allows us to set each student aspirational targets which they aim towards through Key Stage 3. Using this new tracking system, and regular internal testing, we are confident that our students are making excellent progress.</w:t>
      </w:r>
      <w:r>
        <w:rPr>
          <w:rFonts w:cstheme="minorHAnsi"/>
        </w:rPr>
        <w:tab/>
      </w:r>
      <w:r>
        <w:rPr>
          <w:rFonts w:cstheme="minorHAnsi"/>
        </w:rPr>
        <w:tab/>
      </w:r>
      <w:r>
        <w:rPr>
          <w:rFonts w:cstheme="minorHAnsi"/>
        </w:rPr>
        <w:tab/>
      </w:r>
    </w:p>
    <w:p w14:paraId="684C5702" w14:textId="77777777" w:rsidR="003A64A2" w:rsidRPr="00D66F22" w:rsidRDefault="003A64A2" w:rsidP="003A64A2">
      <w:pPr>
        <w:pStyle w:val="Heading1"/>
        <w:rPr>
          <w:szCs w:val="24"/>
        </w:rPr>
      </w:pPr>
      <w:r w:rsidRPr="00D66F22">
        <w:t>Key Stage 4</w:t>
      </w:r>
    </w:p>
    <w:bookmarkStart w:id="0" w:name="_heading=h.gjdgxs"/>
    <w:bookmarkEnd w:id="0"/>
    <w:p w14:paraId="53B2D3C6" w14:textId="77777777" w:rsidR="003A64A2" w:rsidRDefault="003A64A2" w:rsidP="003A64A2">
      <w:pPr>
        <w:spacing w:before="240" w:after="0"/>
        <w:ind w:hanging="2"/>
      </w:pPr>
      <w:r>
        <w:fldChar w:fldCharType="begin"/>
      </w:r>
      <w:r>
        <w:instrText xml:space="preserve"> HYPERLINK "about:blank" </w:instrText>
      </w:r>
      <w:r>
        <w:fldChar w:fldCharType="separate"/>
      </w:r>
      <w:r>
        <w:rPr>
          <w:rStyle w:val="Hyperlink"/>
          <w:color w:val="000000"/>
        </w:rPr>
        <w:t>GCSE results</w:t>
      </w:r>
      <w:r>
        <w:fldChar w:fldCharType="end"/>
      </w:r>
      <w:r>
        <w:rPr>
          <w:color w:val="000000"/>
        </w:rPr>
        <w:t xml:space="preserve"> last year were again superb with 95% of pupils achieving grade 4+.  This was an</w:t>
      </w:r>
      <w:r>
        <w:t xml:space="preserve"> excellent achievement in a year where National pass marks for Mathematics increased.  It illustrates the developments that have taken place within the Department over the last few years.  To allow comparisons, Hinchley Wood GCSE results from the last 4 years are shown below:  </w:t>
      </w:r>
    </w:p>
    <w:p w14:paraId="0E7329ED" w14:textId="77777777" w:rsidR="003A64A2" w:rsidRPr="007C6A0D" w:rsidRDefault="003A64A2" w:rsidP="003A64A2">
      <w:pPr>
        <w:spacing w:before="240" w:after="0"/>
        <w:ind w:hanging="2"/>
      </w:pPr>
    </w:p>
    <w:tbl>
      <w:tblPr>
        <w:tblW w:w="6804" w:type="dxa"/>
        <w:tblInd w:w="137" w:type="dxa"/>
        <w:tblLayout w:type="fixed"/>
        <w:tblLook w:val="0000" w:firstRow="0" w:lastRow="0" w:firstColumn="0" w:lastColumn="0" w:noHBand="0" w:noVBand="0"/>
      </w:tblPr>
      <w:tblGrid>
        <w:gridCol w:w="1276"/>
        <w:gridCol w:w="992"/>
        <w:gridCol w:w="992"/>
        <w:gridCol w:w="992"/>
        <w:gridCol w:w="993"/>
        <w:gridCol w:w="1559"/>
      </w:tblGrid>
      <w:tr w:rsidR="003A64A2" w:rsidRPr="009750FA" w14:paraId="48594AE8" w14:textId="77777777" w:rsidTr="003A64A2">
        <w:trPr>
          <w:trHeight w:val="255"/>
        </w:trPr>
        <w:tc>
          <w:tcPr>
            <w:tcW w:w="1276" w:type="dxa"/>
            <w:tcBorders>
              <w:top w:val="single" w:sz="4" w:space="0" w:color="000000"/>
              <w:left w:val="single" w:sz="4" w:space="0" w:color="000000"/>
              <w:bottom w:val="single" w:sz="4" w:space="0" w:color="000000"/>
            </w:tcBorders>
          </w:tcPr>
          <w:p w14:paraId="731C1826"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Grade</w:t>
            </w:r>
          </w:p>
        </w:tc>
        <w:tc>
          <w:tcPr>
            <w:tcW w:w="992"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17D76CB5" w14:textId="4DB041D2" w:rsidR="003A64A2" w:rsidRDefault="003A64A2" w:rsidP="00B25470">
            <w:pPr>
              <w:spacing w:after="0"/>
              <w:ind w:hanging="2"/>
              <w:jc w:val="center"/>
              <w:rPr>
                <w:rFonts w:ascii="Calibri" w:eastAsia="Calibri" w:hAnsi="Calibri" w:cs="Calibri"/>
                <w:b/>
                <w:color w:val="000000"/>
              </w:rPr>
            </w:pPr>
            <w:r>
              <w:rPr>
                <w:rFonts w:ascii="Calibri" w:eastAsia="Calibri" w:hAnsi="Calibri" w:cs="Calibri"/>
                <w:b/>
                <w:color w:val="000000"/>
              </w:rPr>
              <w:t>2025</w:t>
            </w:r>
          </w:p>
        </w:tc>
        <w:tc>
          <w:tcPr>
            <w:tcW w:w="992" w:type="dxa"/>
            <w:tcBorders>
              <w:top w:val="single" w:sz="4" w:space="0" w:color="000000"/>
              <w:left w:val="single" w:sz="4" w:space="0" w:color="000000"/>
              <w:bottom w:val="single" w:sz="4" w:space="0" w:color="000000"/>
            </w:tcBorders>
          </w:tcPr>
          <w:p w14:paraId="3E721BD1" w14:textId="2A141AC7" w:rsidR="003A64A2" w:rsidRPr="009750FA" w:rsidRDefault="003A64A2" w:rsidP="00B25470">
            <w:pPr>
              <w:spacing w:after="0"/>
              <w:ind w:hanging="2"/>
              <w:jc w:val="center"/>
              <w:rPr>
                <w:rFonts w:ascii="Calibri" w:eastAsia="Calibri" w:hAnsi="Calibri" w:cs="Calibri"/>
                <w:b/>
                <w:color w:val="000000"/>
              </w:rPr>
            </w:pPr>
            <w:r>
              <w:rPr>
                <w:rFonts w:ascii="Calibri" w:eastAsia="Calibri" w:hAnsi="Calibri" w:cs="Calibri"/>
                <w:b/>
                <w:color w:val="000000"/>
              </w:rPr>
              <w:t>2024</w:t>
            </w:r>
          </w:p>
        </w:tc>
        <w:tc>
          <w:tcPr>
            <w:tcW w:w="992" w:type="dxa"/>
            <w:tcBorders>
              <w:top w:val="single" w:sz="4" w:space="0" w:color="000000"/>
              <w:left w:val="single" w:sz="4" w:space="0" w:color="000000"/>
              <w:bottom w:val="single" w:sz="4" w:space="0" w:color="000000"/>
              <w:right w:val="single" w:sz="4" w:space="0" w:color="000000"/>
            </w:tcBorders>
          </w:tcPr>
          <w:p w14:paraId="3AA20661" w14:textId="678C85C1" w:rsidR="003A64A2" w:rsidRPr="003A64A2" w:rsidRDefault="003A64A2" w:rsidP="00B25470">
            <w:pPr>
              <w:spacing w:after="0"/>
              <w:ind w:hanging="2"/>
              <w:jc w:val="center"/>
              <w:rPr>
                <w:rFonts w:ascii="Calibri" w:eastAsia="Calibri" w:hAnsi="Calibri" w:cs="Calibri"/>
                <w:b/>
                <w:bCs/>
                <w:color w:val="000000"/>
              </w:rPr>
            </w:pPr>
            <w:r w:rsidRPr="003A64A2">
              <w:rPr>
                <w:rFonts w:ascii="Calibri" w:eastAsia="Calibri" w:hAnsi="Calibri" w:cs="Calibri"/>
                <w:b/>
                <w:bCs/>
                <w:color w:val="000000"/>
              </w:rPr>
              <w:t>2023</w:t>
            </w:r>
          </w:p>
        </w:tc>
        <w:tc>
          <w:tcPr>
            <w:tcW w:w="993" w:type="dxa"/>
            <w:tcBorders>
              <w:top w:val="single" w:sz="4" w:space="0" w:color="000000"/>
              <w:left w:val="single" w:sz="4" w:space="0" w:color="000000"/>
              <w:bottom w:val="single" w:sz="4" w:space="0" w:color="000000"/>
            </w:tcBorders>
          </w:tcPr>
          <w:p w14:paraId="74DB8ED4" w14:textId="22CAC447" w:rsidR="003A64A2" w:rsidRPr="003A64A2" w:rsidRDefault="003A64A2" w:rsidP="00B25470">
            <w:pPr>
              <w:spacing w:after="0"/>
              <w:ind w:hanging="2"/>
              <w:jc w:val="center"/>
              <w:rPr>
                <w:rFonts w:ascii="Calibri" w:eastAsia="Calibri" w:hAnsi="Calibri" w:cs="Calibri"/>
                <w:b/>
                <w:bCs/>
                <w:color w:val="000000"/>
              </w:rPr>
            </w:pPr>
            <w:r w:rsidRPr="003A64A2">
              <w:rPr>
                <w:rFonts w:ascii="Calibri" w:eastAsia="Calibri" w:hAnsi="Calibri" w:cs="Calibri"/>
                <w:b/>
                <w:bCs/>
                <w:color w:val="000000"/>
              </w:rPr>
              <w:t>2022</w:t>
            </w:r>
          </w:p>
        </w:tc>
        <w:tc>
          <w:tcPr>
            <w:tcW w:w="1559" w:type="dxa"/>
            <w:tcBorders>
              <w:top w:val="single" w:sz="4" w:space="0" w:color="000000"/>
              <w:left w:val="single" w:sz="4" w:space="0" w:color="000000"/>
              <w:bottom w:val="single" w:sz="4" w:space="0" w:color="000000"/>
              <w:right w:val="single" w:sz="4" w:space="0" w:color="000000"/>
            </w:tcBorders>
          </w:tcPr>
          <w:p w14:paraId="6600D0DB" w14:textId="77777777" w:rsidR="003A64A2" w:rsidRPr="009750FA" w:rsidRDefault="003A64A2" w:rsidP="00B25470">
            <w:pPr>
              <w:spacing w:after="0"/>
              <w:ind w:hanging="2"/>
              <w:jc w:val="center"/>
              <w:rPr>
                <w:rFonts w:ascii="Calibri" w:eastAsia="Calibri" w:hAnsi="Calibri" w:cs="Calibri"/>
                <w:color w:val="000000"/>
              </w:rPr>
            </w:pPr>
            <w:r w:rsidRPr="009750FA">
              <w:rPr>
                <w:rFonts w:ascii="Calibri" w:eastAsia="Calibri" w:hAnsi="Calibri" w:cs="Calibri"/>
                <w:b/>
                <w:color w:val="000000"/>
              </w:rPr>
              <w:t>2019 National average</w:t>
            </w:r>
          </w:p>
        </w:tc>
      </w:tr>
      <w:tr w:rsidR="003A64A2" w:rsidRPr="009750FA" w14:paraId="727BD717" w14:textId="77777777" w:rsidTr="003A64A2">
        <w:trPr>
          <w:trHeight w:val="255"/>
        </w:trPr>
        <w:tc>
          <w:tcPr>
            <w:tcW w:w="1276" w:type="dxa"/>
            <w:tcBorders>
              <w:left w:val="single" w:sz="4" w:space="0" w:color="000000"/>
              <w:bottom w:val="single" w:sz="4" w:space="0" w:color="000000"/>
            </w:tcBorders>
          </w:tcPr>
          <w:p w14:paraId="249B8EF5"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9</w:t>
            </w:r>
          </w:p>
        </w:tc>
        <w:tc>
          <w:tcPr>
            <w:tcW w:w="992" w:type="dxa"/>
            <w:tcBorders>
              <w:left w:val="single" w:sz="4" w:space="0" w:color="000000"/>
              <w:bottom w:val="single" w:sz="4" w:space="0" w:color="000000"/>
              <w:right w:val="single" w:sz="4" w:space="0" w:color="000000"/>
            </w:tcBorders>
            <w:shd w:val="clear" w:color="auto" w:fill="E8E8E8" w:themeFill="background2"/>
          </w:tcPr>
          <w:p w14:paraId="7EC81D53" w14:textId="009337CA" w:rsidR="003A64A2" w:rsidRDefault="00B24115" w:rsidP="00B25470">
            <w:pPr>
              <w:spacing w:after="0"/>
              <w:ind w:hanging="2"/>
              <w:jc w:val="center"/>
              <w:rPr>
                <w:rFonts w:ascii="Calibri" w:eastAsia="Calibri" w:hAnsi="Calibri" w:cs="Calibri"/>
                <w:color w:val="000000"/>
              </w:rPr>
            </w:pPr>
            <w:r>
              <w:rPr>
                <w:rFonts w:ascii="Calibri" w:eastAsia="Calibri" w:hAnsi="Calibri" w:cs="Calibri"/>
                <w:color w:val="000000"/>
              </w:rPr>
              <w:t>12%</w:t>
            </w:r>
          </w:p>
        </w:tc>
        <w:tc>
          <w:tcPr>
            <w:tcW w:w="992" w:type="dxa"/>
            <w:tcBorders>
              <w:left w:val="single" w:sz="4" w:space="0" w:color="000000"/>
              <w:bottom w:val="single" w:sz="4" w:space="0" w:color="000000"/>
            </w:tcBorders>
          </w:tcPr>
          <w:p w14:paraId="5E19EE90" w14:textId="2DDE6A4E"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7.5%</w:t>
            </w:r>
          </w:p>
        </w:tc>
        <w:tc>
          <w:tcPr>
            <w:tcW w:w="992" w:type="dxa"/>
            <w:tcBorders>
              <w:left w:val="single" w:sz="4" w:space="0" w:color="000000"/>
              <w:bottom w:val="single" w:sz="4" w:space="0" w:color="000000"/>
              <w:right w:val="single" w:sz="4" w:space="0" w:color="000000"/>
            </w:tcBorders>
          </w:tcPr>
          <w:p w14:paraId="23E1FC6E" w14:textId="6394F121"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12%</w:t>
            </w:r>
          </w:p>
        </w:tc>
        <w:tc>
          <w:tcPr>
            <w:tcW w:w="993" w:type="dxa"/>
            <w:tcBorders>
              <w:left w:val="single" w:sz="4" w:space="0" w:color="000000"/>
              <w:bottom w:val="single" w:sz="4" w:space="0" w:color="000000"/>
            </w:tcBorders>
          </w:tcPr>
          <w:p w14:paraId="2F9DD3F1" w14:textId="4300149D"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16%</w:t>
            </w:r>
          </w:p>
        </w:tc>
        <w:tc>
          <w:tcPr>
            <w:tcW w:w="1559" w:type="dxa"/>
            <w:tcBorders>
              <w:left w:val="single" w:sz="4" w:space="0" w:color="000000"/>
              <w:bottom w:val="single" w:sz="4" w:space="0" w:color="000000"/>
              <w:right w:val="single" w:sz="4" w:space="0" w:color="000000"/>
            </w:tcBorders>
          </w:tcPr>
          <w:p w14:paraId="108FAA10" w14:textId="77777777"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3</w:t>
            </w:r>
            <w:r w:rsidRPr="009750FA">
              <w:rPr>
                <w:rFonts w:ascii="Calibri" w:eastAsia="Calibri" w:hAnsi="Calibri" w:cs="Calibri"/>
                <w:b/>
                <w:color w:val="000000"/>
              </w:rPr>
              <w:t>%</w:t>
            </w:r>
          </w:p>
        </w:tc>
      </w:tr>
      <w:tr w:rsidR="003A64A2" w:rsidRPr="009750FA" w14:paraId="43875999" w14:textId="77777777" w:rsidTr="003A64A2">
        <w:trPr>
          <w:trHeight w:val="255"/>
        </w:trPr>
        <w:tc>
          <w:tcPr>
            <w:tcW w:w="1276" w:type="dxa"/>
            <w:tcBorders>
              <w:left w:val="single" w:sz="4" w:space="0" w:color="000000"/>
              <w:bottom w:val="single" w:sz="4" w:space="0" w:color="000000"/>
            </w:tcBorders>
          </w:tcPr>
          <w:p w14:paraId="13F77ECD"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7+</w:t>
            </w:r>
          </w:p>
        </w:tc>
        <w:tc>
          <w:tcPr>
            <w:tcW w:w="992" w:type="dxa"/>
            <w:tcBorders>
              <w:left w:val="single" w:sz="4" w:space="0" w:color="000000"/>
              <w:bottom w:val="single" w:sz="4" w:space="0" w:color="000000"/>
              <w:right w:val="single" w:sz="4" w:space="0" w:color="000000"/>
            </w:tcBorders>
            <w:shd w:val="clear" w:color="auto" w:fill="E8E8E8" w:themeFill="background2"/>
          </w:tcPr>
          <w:p w14:paraId="18C83240" w14:textId="7FFDDABC" w:rsidR="003A64A2" w:rsidRDefault="00B24115" w:rsidP="00B25470">
            <w:pPr>
              <w:spacing w:after="0"/>
              <w:ind w:hanging="2"/>
              <w:jc w:val="center"/>
              <w:rPr>
                <w:rFonts w:ascii="Calibri" w:eastAsia="Calibri" w:hAnsi="Calibri" w:cs="Calibri"/>
                <w:color w:val="000000"/>
              </w:rPr>
            </w:pPr>
            <w:r>
              <w:rPr>
                <w:rFonts w:ascii="Calibri" w:eastAsia="Calibri" w:hAnsi="Calibri" w:cs="Calibri"/>
                <w:color w:val="000000"/>
              </w:rPr>
              <w:t>53.5%</w:t>
            </w:r>
          </w:p>
        </w:tc>
        <w:tc>
          <w:tcPr>
            <w:tcW w:w="992" w:type="dxa"/>
            <w:tcBorders>
              <w:left w:val="single" w:sz="4" w:space="0" w:color="000000"/>
              <w:bottom w:val="single" w:sz="4" w:space="0" w:color="000000"/>
            </w:tcBorders>
          </w:tcPr>
          <w:p w14:paraId="533C886E" w14:textId="765A566E"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47%</w:t>
            </w:r>
          </w:p>
        </w:tc>
        <w:tc>
          <w:tcPr>
            <w:tcW w:w="992" w:type="dxa"/>
            <w:tcBorders>
              <w:left w:val="single" w:sz="4" w:space="0" w:color="000000"/>
              <w:bottom w:val="single" w:sz="4" w:space="0" w:color="000000"/>
              <w:right w:val="single" w:sz="4" w:space="0" w:color="000000"/>
            </w:tcBorders>
          </w:tcPr>
          <w:p w14:paraId="544AD33B" w14:textId="604276D5"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42%</w:t>
            </w:r>
          </w:p>
        </w:tc>
        <w:tc>
          <w:tcPr>
            <w:tcW w:w="993" w:type="dxa"/>
            <w:tcBorders>
              <w:left w:val="single" w:sz="4" w:space="0" w:color="000000"/>
              <w:bottom w:val="single" w:sz="4" w:space="0" w:color="000000"/>
            </w:tcBorders>
          </w:tcPr>
          <w:p w14:paraId="55964E28" w14:textId="2DF75797"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46%</w:t>
            </w:r>
          </w:p>
        </w:tc>
        <w:tc>
          <w:tcPr>
            <w:tcW w:w="1559" w:type="dxa"/>
            <w:tcBorders>
              <w:left w:val="single" w:sz="4" w:space="0" w:color="000000"/>
              <w:bottom w:val="single" w:sz="4" w:space="0" w:color="000000"/>
              <w:right w:val="single" w:sz="4" w:space="0" w:color="000000"/>
            </w:tcBorders>
          </w:tcPr>
          <w:p w14:paraId="1B23B299" w14:textId="77777777"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17</w:t>
            </w:r>
            <w:r w:rsidRPr="009750FA">
              <w:rPr>
                <w:rFonts w:ascii="Calibri" w:eastAsia="Calibri" w:hAnsi="Calibri" w:cs="Calibri"/>
                <w:b/>
                <w:color w:val="000000"/>
              </w:rPr>
              <w:t>%</w:t>
            </w:r>
          </w:p>
        </w:tc>
      </w:tr>
      <w:tr w:rsidR="003A64A2" w14:paraId="5F258EEB" w14:textId="77777777" w:rsidTr="003A64A2">
        <w:trPr>
          <w:trHeight w:val="310"/>
        </w:trPr>
        <w:tc>
          <w:tcPr>
            <w:tcW w:w="1276" w:type="dxa"/>
            <w:tcBorders>
              <w:left w:val="single" w:sz="4" w:space="0" w:color="000000"/>
              <w:bottom w:val="single" w:sz="4" w:space="0" w:color="000000"/>
            </w:tcBorders>
          </w:tcPr>
          <w:p w14:paraId="3A850E09"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4+</w:t>
            </w:r>
          </w:p>
        </w:tc>
        <w:tc>
          <w:tcPr>
            <w:tcW w:w="992" w:type="dxa"/>
            <w:tcBorders>
              <w:left w:val="single" w:sz="4" w:space="0" w:color="000000"/>
              <w:bottom w:val="single" w:sz="4" w:space="0" w:color="000000"/>
              <w:right w:val="single" w:sz="4" w:space="0" w:color="000000"/>
            </w:tcBorders>
            <w:shd w:val="clear" w:color="auto" w:fill="E8E8E8" w:themeFill="background2"/>
          </w:tcPr>
          <w:p w14:paraId="1D7845BD" w14:textId="50D60A55" w:rsidR="003A64A2" w:rsidRDefault="00B24115" w:rsidP="00B24115">
            <w:pPr>
              <w:spacing w:after="0"/>
              <w:ind w:hanging="2"/>
              <w:jc w:val="center"/>
              <w:rPr>
                <w:rFonts w:ascii="Calibri" w:eastAsia="Calibri" w:hAnsi="Calibri" w:cs="Calibri"/>
                <w:color w:val="000000"/>
              </w:rPr>
            </w:pPr>
            <w:r>
              <w:rPr>
                <w:rFonts w:ascii="Calibri" w:eastAsia="Calibri" w:hAnsi="Calibri" w:cs="Calibri"/>
                <w:color w:val="000000"/>
              </w:rPr>
              <w:t>94%</w:t>
            </w:r>
          </w:p>
        </w:tc>
        <w:tc>
          <w:tcPr>
            <w:tcW w:w="992" w:type="dxa"/>
            <w:tcBorders>
              <w:left w:val="single" w:sz="4" w:space="0" w:color="000000"/>
              <w:bottom w:val="single" w:sz="4" w:space="0" w:color="000000"/>
            </w:tcBorders>
          </w:tcPr>
          <w:p w14:paraId="2A182EAA" w14:textId="278712D6"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92%</w:t>
            </w:r>
          </w:p>
        </w:tc>
        <w:tc>
          <w:tcPr>
            <w:tcW w:w="992" w:type="dxa"/>
            <w:tcBorders>
              <w:left w:val="single" w:sz="4" w:space="0" w:color="000000"/>
              <w:bottom w:val="single" w:sz="4" w:space="0" w:color="000000"/>
              <w:right w:val="single" w:sz="4" w:space="0" w:color="000000"/>
            </w:tcBorders>
          </w:tcPr>
          <w:p w14:paraId="7CC302C6" w14:textId="28736C64"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91%</w:t>
            </w:r>
          </w:p>
        </w:tc>
        <w:tc>
          <w:tcPr>
            <w:tcW w:w="993" w:type="dxa"/>
            <w:tcBorders>
              <w:left w:val="single" w:sz="4" w:space="0" w:color="000000"/>
              <w:bottom w:val="single" w:sz="4" w:space="0" w:color="000000"/>
            </w:tcBorders>
          </w:tcPr>
          <w:p w14:paraId="604E7005" w14:textId="465A458E"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94%</w:t>
            </w:r>
          </w:p>
        </w:tc>
        <w:tc>
          <w:tcPr>
            <w:tcW w:w="1559" w:type="dxa"/>
            <w:tcBorders>
              <w:left w:val="single" w:sz="4" w:space="0" w:color="000000"/>
              <w:bottom w:val="single" w:sz="4" w:space="0" w:color="000000"/>
              <w:right w:val="single" w:sz="4" w:space="0" w:color="000000"/>
            </w:tcBorders>
          </w:tcPr>
          <w:p w14:paraId="0E795103" w14:textId="77777777" w:rsidR="003A64A2"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61</w:t>
            </w:r>
            <w:r w:rsidRPr="009750FA">
              <w:rPr>
                <w:rFonts w:ascii="Calibri" w:eastAsia="Calibri" w:hAnsi="Calibri" w:cs="Calibri"/>
                <w:b/>
                <w:color w:val="000000"/>
              </w:rPr>
              <w:t>%</w:t>
            </w:r>
          </w:p>
        </w:tc>
      </w:tr>
    </w:tbl>
    <w:p w14:paraId="0168D181" w14:textId="77777777" w:rsidR="003A64A2" w:rsidRPr="00B9488D" w:rsidRDefault="003A64A2" w:rsidP="003A64A2">
      <w:pPr>
        <w:pStyle w:val="Heading1"/>
      </w:pPr>
      <w:r>
        <w:t>Key Stage 5</w:t>
      </w:r>
    </w:p>
    <w:p w14:paraId="2D39F8DD" w14:textId="7155BE08" w:rsidR="003A64A2" w:rsidRDefault="003A64A2" w:rsidP="003A64A2">
      <w:pPr>
        <w:spacing w:after="0"/>
        <w:ind w:hanging="2"/>
        <w:rPr>
          <w:rFonts w:ascii="Calibri" w:eastAsia="Calibri" w:hAnsi="Calibri" w:cs="Calibri"/>
          <w:color w:val="000000"/>
        </w:rPr>
      </w:pPr>
      <w:r w:rsidRPr="00740C96">
        <w:rPr>
          <w:color w:val="000000"/>
        </w:rPr>
        <w:t>The results in the Sixth Form are well above the national average; we offer Maths, Core Maths and Further Maths.</w:t>
      </w:r>
      <w:r w:rsidRPr="00740C96">
        <w:rPr>
          <w:rFonts w:ascii="Calibri" w:eastAsia="Calibri" w:hAnsi="Calibri" w:cs="Calibri"/>
          <w:b/>
          <w:color w:val="000000"/>
        </w:rPr>
        <w:t xml:space="preserve">  </w:t>
      </w:r>
      <w:r w:rsidRPr="00740C96">
        <w:rPr>
          <w:rFonts w:ascii="Calibri" w:eastAsia="Calibri" w:hAnsi="Calibri" w:cs="Calibri"/>
          <w:color w:val="000000"/>
        </w:rPr>
        <w:t>Results from 2022:</w:t>
      </w:r>
      <w:r w:rsidRPr="007C6A0D">
        <w:rPr>
          <w:rFonts w:ascii="Calibri" w:eastAsia="Calibri" w:hAnsi="Calibri" w:cs="Calibri"/>
          <w:color w:val="000000"/>
        </w:rPr>
        <w:tab/>
      </w:r>
    </w:p>
    <w:p w14:paraId="240CF634" w14:textId="77777777" w:rsidR="003A64A2" w:rsidRPr="007C6A0D" w:rsidRDefault="003A64A2" w:rsidP="003A64A2">
      <w:pPr>
        <w:spacing w:after="0"/>
        <w:ind w:hanging="2"/>
        <w:rPr>
          <w:rFonts w:ascii="Calibri" w:hAnsi="Calibri" w:cs="Calibri"/>
          <w:color w:val="000000"/>
        </w:rPr>
      </w:pPr>
      <w:r w:rsidRPr="007C6A0D">
        <w:rPr>
          <w:rFonts w:ascii="Calibri" w:eastAsia="Calibri" w:hAnsi="Calibri" w:cs="Calibri"/>
          <w:color w:val="000000"/>
        </w:rPr>
        <w:tab/>
      </w:r>
    </w:p>
    <w:tbl>
      <w:tblPr>
        <w:tblStyle w:val="TableGrid"/>
        <w:tblW w:w="0" w:type="auto"/>
        <w:tblLook w:val="04A0" w:firstRow="1" w:lastRow="0" w:firstColumn="1" w:lastColumn="0" w:noHBand="0" w:noVBand="1"/>
      </w:tblPr>
      <w:tblGrid>
        <w:gridCol w:w="1160"/>
        <w:gridCol w:w="1079"/>
        <w:gridCol w:w="2211"/>
        <w:gridCol w:w="1276"/>
        <w:gridCol w:w="1079"/>
        <w:gridCol w:w="2211"/>
      </w:tblGrid>
      <w:tr w:rsidR="003A64A2" w14:paraId="337BA449" w14:textId="77777777" w:rsidTr="00B25470">
        <w:tc>
          <w:tcPr>
            <w:tcW w:w="4957" w:type="dxa"/>
            <w:gridSpan w:val="3"/>
            <w:shd w:val="clear" w:color="auto" w:fill="E8E8E8" w:themeFill="background2"/>
          </w:tcPr>
          <w:p w14:paraId="204DE58C" w14:textId="77777777" w:rsidR="003A64A2" w:rsidRDefault="003A64A2" w:rsidP="00B25470">
            <w:pPr>
              <w:jc w:val="center"/>
              <w:rPr>
                <w:rFonts w:ascii="Calibri" w:eastAsia="Calibri" w:hAnsi="Calibri" w:cs="Calibri"/>
                <w:b/>
                <w:color w:val="000000"/>
              </w:rPr>
            </w:pPr>
            <w:r>
              <w:rPr>
                <w:rFonts w:ascii="Calibri" w:eastAsia="Calibri" w:hAnsi="Calibri" w:cs="Calibri"/>
                <w:b/>
                <w:color w:val="000000"/>
              </w:rPr>
              <w:t>Maths</w:t>
            </w:r>
          </w:p>
        </w:tc>
        <w:tc>
          <w:tcPr>
            <w:tcW w:w="5104" w:type="dxa"/>
            <w:gridSpan w:val="3"/>
            <w:shd w:val="clear" w:color="auto" w:fill="E8E8E8" w:themeFill="background2"/>
          </w:tcPr>
          <w:p w14:paraId="676BF3FA" w14:textId="77777777" w:rsidR="003A64A2" w:rsidRDefault="003A64A2" w:rsidP="00B25470">
            <w:pPr>
              <w:jc w:val="center"/>
              <w:rPr>
                <w:rFonts w:ascii="Calibri" w:eastAsia="Calibri" w:hAnsi="Calibri" w:cs="Calibri"/>
                <w:b/>
                <w:color w:val="000000"/>
              </w:rPr>
            </w:pPr>
            <w:r>
              <w:rPr>
                <w:rFonts w:ascii="Calibri" w:eastAsia="Calibri" w:hAnsi="Calibri" w:cs="Calibri"/>
                <w:b/>
                <w:color w:val="000000"/>
              </w:rPr>
              <w:t>Further Maths</w:t>
            </w:r>
          </w:p>
        </w:tc>
      </w:tr>
      <w:tr w:rsidR="003A64A2" w14:paraId="06A7B6D0" w14:textId="77777777" w:rsidTr="00B25470">
        <w:tc>
          <w:tcPr>
            <w:tcW w:w="1271" w:type="dxa"/>
          </w:tcPr>
          <w:p w14:paraId="295A5A3D" w14:textId="77777777" w:rsidR="003A64A2" w:rsidRDefault="003A64A2" w:rsidP="00B25470">
            <w:pPr>
              <w:rPr>
                <w:rFonts w:ascii="Calibri" w:eastAsia="Calibri" w:hAnsi="Calibri" w:cs="Calibri"/>
                <w:b/>
                <w:color w:val="000000"/>
              </w:rPr>
            </w:pPr>
            <w:r>
              <w:rPr>
                <w:rFonts w:ascii="Calibri" w:eastAsia="Calibri" w:hAnsi="Calibri" w:cs="Calibri"/>
                <w:b/>
                <w:color w:val="000000"/>
              </w:rPr>
              <w:t>Grade</w:t>
            </w:r>
          </w:p>
        </w:tc>
        <w:tc>
          <w:tcPr>
            <w:tcW w:w="1134" w:type="dxa"/>
          </w:tcPr>
          <w:p w14:paraId="0A44A836" w14:textId="0643F6AD" w:rsidR="003A64A2" w:rsidRDefault="003A64A2" w:rsidP="00B25470">
            <w:pPr>
              <w:rPr>
                <w:rFonts w:ascii="Calibri" w:eastAsia="Calibri" w:hAnsi="Calibri" w:cs="Calibri"/>
                <w:b/>
                <w:color w:val="000000"/>
              </w:rPr>
            </w:pPr>
            <w:r>
              <w:rPr>
                <w:rFonts w:ascii="Calibri" w:eastAsia="Calibri" w:hAnsi="Calibri" w:cs="Calibri"/>
                <w:b/>
                <w:color w:val="000000"/>
              </w:rPr>
              <w:t>202</w:t>
            </w:r>
            <w:r w:rsidR="00B24115">
              <w:rPr>
                <w:rFonts w:ascii="Calibri" w:eastAsia="Calibri" w:hAnsi="Calibri" w:cs="Calibri"/>
                <w:b/>
                <w:color w:val="000000"/>
              </w:rPr>
              <w:t>5</w:t>
            </w:r>
          </w:p>
        </w:tc>
        <w:tc>
          <w:tcPr>
            <w:tcW w:w="2552" w:type="dxa"/>
          </w:tcPr>
          <w:p w14:paraId="06F5CF20" w14:textId="77777777" w:rsidR="003A64A2" w:rsidRDefault="003A64A2" w:rsidP="00B25470">
            <w:pPr>
              <w:rPr>
                <w:rFonts w:ascii="Calibri" w:eastAsia="Calibri" w:hAnsi="Calibri" w:cs="Calibri"/>
                <w:b/>
                <w:color w:val="000000"/>
              </w:rPr>
            </w:pPr>
            <w:r>
              <w:rPr>
                <w:rFonts w:ascii="Calibri" w:eastAsia="Calibri" w:hAnsi="Calibri" w:cs="Calibri"/>
                <w:b/>
                <w:color w:val="000000"/>
              </w:rPr>
              <w:t>National Average</w:t>
            </w:r>
          </w:p>
        </w:tc>
        <w:tc>
          <w:tcPr>
            <w:tcW w:w="1418" w:type="dxa"/>
          </w:tcPr>
          <w:p w14:paraId="1F17B83F" w14:textId="77777777" w:rsidR="003A64A2" w:rsidRDefault="003A64A2" w:rsidP="00B25470">
            <w:pPr>
              <w:rPr>
                <w:rFonts w:ascii="Calibri" w:eastAsia="Calibri" w:hAnsi="Calibri" w:cs="Calibri"/>
                <w:b/>
                <w:color w:val="000000"/>
              </w:rPr>
            </w:pPr>
            <w:r>
              <w:rPr>
                <w:rFonts w:ascii="Calibri" w:eastAsia="Calibri" w:hAnsi="Calibri" w:cs="Calibri"/>
                <w:b/>
                <w:color w:val="000000"/>
              </w:rPr>
              <w:t>Grade</w:t>
            </w:r>
          </w:p>
        </w:tc>
        <w:tc>
          <w:tcPr>
            <w:tcW w:w="1134" w:type="dxa"/>
          </w:tcPr>
          <w:p w14:paraId="6C041683" w14:textId="57CB6184" w:rsidR="003A64A2" w:rsidRDefault="003A64A2" w:rsidP="00B25470">
            <w:pPr>
              <w:rPr>
                <w:rFonts w:ascii="Calibri" w:eastAsia="Calibri" w:hAnsi="Calibri" w:cs="Calibri"/>
                <w:b/>
                <w:color w:val="000000"/>
              </w:rPr>
            </w:pPr>
            <w:r>
              <w:rPr>
                <w:rFonts w:ascii="Calibri" w:eastAsia="Calibri" w:hAnsi="Calibri" w:cs="Calibri"/>
                <w:b/>
                <w:color w:val="000000"/>
              </w:rPr>
              <w:t>202</w:t>
            </w:r>
            <w:r w:rsidR="00B24115">
              <w:rPr>
                <w:rFonts w:ascii="Calibri" w:eastAsia="Calibri" w:hAnsi="Calibri" w:cs="Calibri"/>
                <w:b/>
                <w:color w:val="000000"/>
              </w:rPr>
              <w:t>5</w:t>
            </w:r>
          </w:p>
        </w:tc>
        <w:tc>
          <w:tcPr>
            <w:tcW w:w="2552" w:type="dxa"/>
          </w:tcPr>
          <w:p w14:paraId="73E08052" w14:textId="77777777" w:rsidR="003A64A2" w:rsidRDefault="003A64A2" w:rsidP="00B25470">
            <w:pPr>
              <w:rPr>
                <w:rFonts w:ascii="Calibri" w:eastAsia="Calibri" w:hAnsi="Calibri" w:cs="Calibri"/>
                <w:b/>
                <w:color w:val="000000"/>
              </w:rPr>
            </w:pPr>
            <w:r>
              <w:rPr>
                <w:rFonts w:ascii="Calibri" w:eastAsia="Calibri" w:hAnsi="Calibri" w:cs="Calibri"/>
                <w:b/>
                <w:color w:val="000000"/>
              </w:rPr>
              <w:t>National Average</w:t>
            </w:r>
          </w:p>
        </w:tc>
      </w:tr>
      <w:tr w:rsidR="003A64A2" w14:paraId="52B2BAD0" w14:textId="77777777" w:rsidTr="00B25470">
        <w:tc>
          <w:tcPr>
            <w:tcW w:w="1271" w:type="dxa"/>
          </w:tcPr>
          <w:p w14:paraId="6B1D0820" w14:textId="77777777" w:rsidR="003A64A2" w:rsidRDefault="003A64A2" w:rsidP="00B25470">
            <w:pPr>
              <w:rPr>
                <w:rFonts w:ascii="Calibri" w:eastAsia="Calibri" w:hAnsi="Calibri" w:cs="Calibri"/>
                <w:b/>
                <w:color w:val="000000"/>
              </w:rPr>
            </w:pPr>
            <w:r>
              <w:rPr>
                <w:rFonts w:ascii="Calibri" w:eastAsia="Calibri" w:hAnsi="Calibri" w:cs="Calibri"/>
                <w:b/>
                <w:color w:val="000000"/>
              </w:rPr>
              <w:t>A*-A</w:t>
            </w:r>
          </w:p>
        </w:tc>
        <w:tc>
          <w:tcPr>
            <w:tcW w:w="1134" w:type="dxa"/>
          </w:tcPr>
          <w:p w14:paraId="53CDA72A" w14:textId="745AFB60" w:rsidR="003A64A2" w:rsidRDefault="003A64A2" w:rsidP="00B25470">
            <w:pPr>
              <w:rPr>
                <w:rFonts w:ascii="Calibri" w:eastAsia="Calibri" w:hAnsi="Calibri" w:cs="Calibri"/>
                <w:b/>
                <w:color w:val="000000"/>
              </w:rPr>
            </w:pPr>
            <w:r>
              <w:rPr>
                <w:rFonts w:ascii="Calibri" w:eastAsia="Calibri" w:hAnsi="Calibri" w:cs="Calibri"/>
                <w:b/>
                <w:color w:val="000000"/>
              </w:rPr>
              <w:t>5</w:t>
            </w:r>
            <w:r w:rsidR="00B24115">
              <w:rPr>
                <w:rFonts w:ascii="Calibri" w:eastAsia="Calibri" w:hAnsi="Calibri" w:cs="Calibri"/>
                <w:b/>
                <w:color w:val="000000"/>
              </w:rPr>
              <w:t>2.54%</w:t>
            </w:r>
          </w:p>
        </w:tc>
        <w:tc>
          <w:tcPr>
            <w:tcW w:w="2552" w:type="dxa"/>
          </w:tcPr>
          <w:p w14:paraId="1392D3B2" w14:textId="3155206E" w:rsidR="003A64A2" w:rsidRDefault="003A64A2" w:rsidP="00B25470">
            <w:pPr>
              <w:rPr>
                <w:rFonts w:ascii="Calibri" w:eastAsia="Calibri" w:hAnsi="Calibri" w:cs="Calibri"/>
                <w:b/>
                <w:color w:val="000000"/>
              </w:rPr>
            </w:pPr>
            <w:r>
              <w:rPr>
                <w:rFonts w:ascii="Calibri" w:eastAsia="Calibri" w:hAnsi="Calibri" w:cs="Calibri"/>
                <w:b/>
                <w:color w:val="000000"/>
              </w:rPr>
              <w:t>4</w:t>
            </w:r>
            <w:r w:rsidR="00B24115">
              <w:rPr>
                <w:rFonts w:ascii="Calibri" w:eastAsia="Calibri" w:hAnsi="Calibri" w:cs="Calibri"/>
                <w:b/>
                <w:color w:val="000000"/>
              </w:rPr>
              <w:t>1.3</w:t>
            </w:r>
            <w:r>
              <w:rPr>
                <w:rFonts w:ascii="Calibri" w:eastAsia="Calibri" w:hAnsi="Calibri" w:cs="Calibri"/>
                <w:b/>
                <w:color w:val="000000"/>
              </w:rPr>
              <w:t>%</w:t>
            </w:r>
          </w:p>
        </w:tc>
        <w:tc>
          <w:tcPr>
            <w:tcW w:w="1418" w:type="dxa"/>
          </w:tcPr>
          <w:p w14:paraId="02D01A8D" w14:textId="77777777" w:rsidR="003A64A2" w:rsidRDefault="003A64A2" w:rsidP="00B25470">
            <w:pPr>
              <w:rPr>
                <w:rFonts w:ascii="Calibri" w:eastAsia="Calibri" w:hAnsi="Calibri" w:cs="Calibri"/>
                <w:b/>
                <w:color w:val="000000"/>
              </w:rPr>
            </w:pPr>
            <w:r>
              <w:rPr>
                <w:rFonts w:ascii="Calibri" w:eastAsia="Calibri" w:hAnsi="Calibri" w:cs="Calibri"/>
                <w:b/>
                <w:color w:val="000000"/>
              </w:rPr>
              <w:t>A*-A</w:t>
            </w:r>
          </w:p>
        </w:tc>
        <w:tc>
          <w:tcPr>
            <w:tcW w:w="1134" w:type="dxa"/>
          </w:tcPr>
          <w:p w14:paraId="04974042" w14:textId="46AF44CE" w:rsidR="003A64A2" w:rsidRDefault="00B24115" w:rsidP="00B25470">
            <w:pPr>
              <w:rPr>
                <w:rFonts w:ascii="Calibri" w:eastAsia="Calibri" w:hAnsi="Calibri" w:cs="Calibri"/>
                <w:b/>
                <w:color w:val="000000"/>
              </w:rPr>
            </w:pPr>
            <w:r>
              <w:rPr>
                <w:rFonts w:ascii="Calibri" w:eastAsia="Calibri" w:hAnsi="Calibri" w:cs="Calibri"/>
                <w:b/>
                <w:color w:val="000000"/>
              </w:rPr>
              <w:t>52.54%</w:t>
            </w:r>
          </w:p>
        </w:tc>
        <w:tc>
          <w:tcPr>
            <w:tcW w:w="2552" w:type="dxa"/>
          </w:tcPr>
          <w:p w14:paraId="3988DDD3" w14:textId="266D57EE" w:rsidR="003A64A2" w:rsidRDefault="003A64A2" w:rsidP="00B25470">
            <w:pPr>
              <w:rPr>
                <w:rFonts w:ascii="Calibri" w:eastAsia="Calibri" w:hAnsi="Calibri" w:cs="Calibri"/>
                <w:b/>
                <w:color w:val="000000"/>
              </w:rPr>
            </w:pPr>
            <w:r>
              <w:rPr>
                <w:rFonts w:ascii="Calibri" w:eastAsia="Calibri" w:hAnsi="Calibri" w:cs="Calibri"/>
                <w:b/>
                <w:color w:val="000000"/>
              </w:rPr>
              <w:t>5</w:t>
            </w:r>
            <w:r w:rsidR="00B24115">
              <w:rPr>
                <w:rFonts w:ascii="Calibri" w:eastAsia="Calibri" w:hAnsi="Calibri" w:cs="Calibri"/>
                <w:b/>
                <w:color w:val="000000"/>
              </w:rPr>
              <w:t>8.5%</w:t>
            </w:r>
          </w:p>
        </w:tc>
      </w:tr>
      <w:tr w:rsidR="003A64A2" w14:paraId="395312EA" w14:textId="77777777" w:rsidTr="00B25470">
        <w:tc>
          <w:tcPr>
            <w:tcW w:w="1271" w:type="dxa"/>
          </w:tcPr>
          <w:p w14:paraId="2DB59FF2" w14:textId="77777777" w:rsidR="003A64A2" w:rsidRDefault="003A64A2" w:rsidP="00B25470">
            <w:pPr>
              <w:rPr>
                <w:rFonts w:ascii="Calibri" w:eastAsia="Calibri" w:hAnsi="Calibri" w:cs="Calibri"/>
                <w:b/>
                <w:color w:val="000000"/>
              </w:rPr>
            </w:pPr>
            <w:r>
              <w:rPr>
                <w:rFonts w:ascii="Calibri" w:eastAsia="Calibri" w:hAnsi="Calibri" w:cs="Calibri"/>
                <w:b/>
                <w:color w:val="000000"/>
              </w:rPr>
              <w:t>A*-C</w:t>
            </w:r>
          </w:p>
        </w:tc>
        <w:tc>
          <w:tcPr>
            <w:tcW w:w="1134" w:type="dxa"/>
          </w:tcPr>
          <w:p w14:paraId="2BC5CD59" w14:textId="2B09D8F2" w:rsidR="003A64A2" w:rsidRDefault="00B24115" w:rsidP="00B25470">
            <w:pPr>
              <w:rPr>
                <w:rFonts w:ascii="Calibri" w:eastAsia="Calibri" w:hAnsi="Calibri" w:cs="Calibri"/>
                <w:b/>
                <w:color w:val="000000"/>
              </w:rPr>
            </w:pPr>
            <w:r>
              <w:rPr>
                <w:rFonts w:ascii="Calibri" w:eastAsia="Calibri" w:hAnsi="Calibri" w:cs="Calibri"/>
                <w:b/>
                <w:color w:val="000000"/>
              </w:rPr>
              <w:t>93.22%</w:t>
            </w:r>
          </w:p>
        </w:tc>
        <w:tc>
          <w:tcPr>
            <w:tcW w:w="2552" w:type="dxa"/>
          </w:tcPr>
          <w:p w14:paraId="5E639F47" w14:textId="50B74537" w:rsidR="003A64A2" w:rsidRDefault="00B24115" w:rsidP="00B25470">
            <w:pPr>
              <w:rPr>
                <w:rFonts w:ascii="Calibri" w:eastAsia="Calibri" w:hAnsi="Calibri" w:cs="Calibri"/>
                <w:b/>
                <w:color w:val="000000"/>
              </w:rPr>
            </w:pPr>
            <w:r>
              <w:rPr>
                <w:rFonts w:ascii="Calibri" w:eastAsia="Calibri" w:hAnsi="Calibri" w:cs="Calibri"/>
                <w:b/>
                <w:color w:val="000000"/>
              </w:rPr>
              <w:t>77.9%</w:t>
            </w:r>
          </w:p>
        </w:tc>
        <w:tc>
          <w:tcPr>
            <w:tcW w:w="1418" w:type="dxa"/>
          </w:tcPr>
          <w:p w14:paraId="2EE25FBB" w14:textId="77777777" w:rsidR="003A64A2" w:rsidRDefault="003A64A2" w:rsidP="00B25470">
            <w:pPr>
              <w:rPr>
                <w:rFonts w:ascii="Calibri" w:eastAsia="Calibri" w:hAnsi="Calibri" w:cs="Calibri"/>
                <w:b/>
                <w:color w:val="000000"/>
              </w:rPr>
            </w:pPr>
            <w:r>
              <w:rPr>
                <w:rFonts w:ascii="Calibri" w:eastAsia="Calibri" w:hAnsi="Calibri" w:cs="Calibri"/>
                <w:b/>
                <w:color w:val="000000"/>
              </w:rPr>
              <w:t>A*-C</w:t>
            </w:r>
          </w:p>
        </w:tc>
        <w:tc>
          <w:tcPr>
            <w:tcW w:w="1134" w:type="dxa"/>
          </w:tcPr>
          <w:p w14:paraId="3D7F42DB" w14:textId="05B66FC7" w:rsidR="003A64A2" w:rsidRDefault="00B24115" w:rsidP="00B25470">
            <w:pPr>
              <w:rPr>
                <w:rFonts w:ascii="Calibri" w:eastAsia="Calibri" w:hAnsi="Calibri" w:cs="Calibri"/>
                <w:b/>
                <w:color w:val="000000"/>
              </w:rPr>
            </w:pPr>
            <w:r>
              <w:rPr>
                <w:rFonts w:ascii="Calibri" w:eastAsia="Calibri" w:hAnsi="Calibri" w:cs="Calibri"/>
                <w:b/>
                <w:color w:val="000000"/>
              </w:rPr>
              <w:t>100%</w:t>
            </w:r>
          </w:p>
        </w:tc>
        <w:tc>
          <w:tcPr>
            <w:tcW w:w="2552" w:type="dxa"/>
          </w:tcPr>
          <w:p w14:paraId="56348EB1" w14:textId="61554E83" w:rsidR="003A64A2" w:rsidRDefault="00B24115" w:rsidP="00B25470">
            <w:pPr>
              <w:rPr>
                <w:rFonts w:ascii="Calibri" w:eastAsia="Calibri" w:hAnsi="Calibri" w:cs="Calibri"/>
                <w:b/>
                <w:color w:val="000000"/>
              </w:rPr>
            </w:pPr>
            <w:r>
              <w:rPr>
                <w:rFonts w:ascii="Calibri" w:eastAsia="Calibri" w:hAnsi="Calibri" w:cs="Calibri"/>
                <w:b/>
                <w:color w:val="000000"/>
              </w:rPr>
              <w:t>90%</w:t>
            </w:r>
          </w:p>
        </w:tc>
      </w:tr>
    </w:tbl>
    <w:p w14:paraId="5A2B3927" w14:textId="77777777" w:rsidR="003A64A2" w:rsidRDefault="003A64A2" w:rsidP="003A64A2">
      <w:pPr>
        <w:spacing w:after="0"/>
        <w:rPr>
          <w:rFonts w:cstheme="minorHAnsi"/>
        </w:rPr>
      </w:pPr>
      <w:r>
        <w:rPr>
          <w:rFonts w:cstheme="minorHAnsi"/>
        </w:rPr>
        <w:tab/>
      </w:r>
      <w:r>
        <w:rPr>
          <w:rFonts w:cstheme="minorHAnsi"/>
        </w:rPr>
        <w:tab/>
      </w:r>
      <w:r>
        <w:rPr>
          <w:rFonts w:cstheme="minorHAnsi"/>
        </w:rPr>
        <w:tab/>
      </w:r>
      <w:r>
        <w:rPr>
          <w:rFonts w:cstheme="minorHAnsi"/>
        </w:rPr>
        <w:tab/>
      </w:r>
    </w:p>
    <w:p w14:paraId="473C782A" w14:textId="77777777" w:rsidR="003A64A2" w:rsidRDefault="003A64A2" w:rsidP="003A64A2">
      <w:pPr>
        <w:pBdr>
          <w:top w:val="nil"/>
          <w:left w:val="nil"/>
          <w:bottom w:val="nil"/>
          <w:right w:val="nil"/>
          <w:between w:val="nil"/>
        </w:pBdr>
        <w:ind w:left="3602" w:hanging="2"/>
        <w:rPr>
          <w:rFonts w:ascii="Calibri" w:eastAsia="Calibri" w:hAnsi="Calibri" w:cs="Calibri"/>
          <w:b/>
          <w:color w:val="000000"/>
        </w:rPr>
      </w:pPr>
      <w:r>
        <w:rPr>
          <w:rFonts w:ascii="Calibri" w:eastAsia="Calibri" w:hAnsi="Calibri" w:cs="Calibri"/>
          <w:b/>
          <w:color w:val="000000"/>
        </w:rPr>
        <w:t>Maths Team 2023/24</w:t>
      </w:r>
    </w:p>
    <w:tbl>
      <w:tblPr>
        <w:tblW w:w="7442" w:type="dxa"/>
        <w:jc w:val="center"/>
        <w:tblLayout w:type="fixed"/>
        <w:tblLook w:val="0000" w:firstRow="0" w:lastRow="0" w:firstColumn="0" w:lastColumn="0" w:noHBand="0" w:noVBand="0"/>
      </w:tblPr>
      <w:tblGrid>
        <w:gridCol w:w="2557"/>
        <w:gridCol w:w="4885"/>
      </w:tblGrid>
      <w:tr w:rsidR="003A64A2" w14:paraId="153C9C93" w14:textId="77777777" w:rsidTr="00B25470">
        <w:trPr>
          <w:trHeight w:val="340"/>
          <w:jc w:val="center"/>
        </w:trPr>
        <w:tc>
          <w:tcPr>
            <w:tcW w:w="2557" w:type="dxa"/>
          </w:tcPr>
          <w:p w14:paraId="75DACBC8"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Mrs Louise Stamp</w:t>
            </w:r>
          </w:p>
          <w:p w14:paraId="65C8A06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Joel Davies</w:t>
            </w:r>
          </w:p>
        </w:tc>
        <w:tc>
          <w:tcPr>
            <w:tcW w:w="4885" w:type="dxa"/>
          </w:tcPr>
          <w:p w14:paraId="5CBE8D39"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 xml:space="preserve">Head of Mathematics </w:t>
            </w:r>
            <w:r>
              <w:rPr>
                <w:rFonts w:ascii="Calibri" w:eastAsia="Calibri" w:hAnsi="Calibri" w:cs="Calibri"/>
                <w:color w:val="000000"/>
              </w:rPr>
              <w:br/>
            </w:r>
            <w:proofErr w:type="spellStart"/>
            <w:r>
              <w:rPr>
                <w:rFonts w:ascii="Calibri" w:eastAsia="Calibri" w:hAnsi="Calibri" w:cs="Calibri"/>
                <w:color w:val="000000"/>
              </w:rPr>
              <w:t>Mathematics</w:t>
            </w:r>
            <w:proofErr w:type="spellEnd"/>
            <w:r>
              <w:rPr>
                <w:rFonts w:ascii="Calibri" w:eastAsia="Calibri" w:hAnsi="Calibri" w:cs="Calibri"/>
                <w:color w:val="000000"/>
              </w:rPr>
              <w:t xml:space="preserve"> / Whole School Timetable </w:t>
            </w:r>
          </w:p>
        </w:tc>
      </w:tr>
      <w:tr w:rsidR="003A64A2" w14:paraId="5AF59CB2" w14:textId="77777777" w:rsidTr="00B25470">
        <w:trPr>
          <w:trHeight w:val="274"/>
          <w:jc w:val="center"/>
        </w:trPr>
        <w:tc>
          <w:tcPr>
            <w:tcW w:w="2557" w:type="dxa"/>
          </w:tcPr>
          <w:p w14:paraId="514F773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Mrs Naomi Berry</w:t>
            </w:r>
          </w:p>
        </w:tc>
        <w:tc>
          <w:tcPr>
            <w:tcW w:w="4885" w:type="dxa"/>
          </w:tcPr>
          <w:p w14:paraId="709D3B3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 / KS5 Coordinator</w:t>
            </w:r>
          </w:p>
        </w:tc>
      </w:tr>
      <w:tr w:rsidR="003A64A2" w14:paraId="4052A6A1" w14:textId="77777777" w:rsidTr="00B25470">
        <w:trPr>
          <w:trHeight w:val="285"/>
          <w:jc w:val="center"/>
        </w:trPr>
        <w:tc>
          <w:tcPr>
            <w:tcW w:w="2557" w:type="dxa"/>
          </w:tcPr>
          <w:p w14:paraId="1B89524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Tony Cox</w:t>
            </w:r>
          </w:p>
          <w:p w14:paraId="7E2619B3" w14:textId="21232B68"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Javian Corera</w:t>
            </w:r>
          </w:p>
          <w:p w14:paraId="16B4D2CE" w14:textId="54BDE294" w:rsidR="003A64A2" w:rsidRDefault="003A64A2" w:rsidP="003A64A2">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Mrs Anya Creed</w:t>
            </w:r>
          </w:p>
          <w:p w14:paraId="3207D62B" w14:textId="25A83244" w:rsidR="00740C96" w:rsidRDefault="003A64A2" w:rsidP="00740C96">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Miss Tara Hegarty</w:t>
            </w:r>
          </w:p>
        </w:tc>
        <w:tc>
          <w:tcPr>
            <w:tcW w:w="4885" w:type="dxa"/>
          </w:tcPr>
          <w:p w14:paraId="71B0055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Mathematics / KS4 Coordinator</w:t>
            </w:r>
          </w:p>
          <w:p w14:paraId="08C9ACA8" w14:textId="0D54F513"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p w14:paraId="3BF1589C" w14:textId="154293C8"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Mathematics/Head of Learning</w:t>
            </w:r>
          </w:p>
          <w:p w14:paraId="34E13FA0" w14:textId="0AB51E94" w:rsidR="00740C96" w:rsidRDefault="003A64A2" w:rsidP="00740C96">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Mathematics/Core Maths Coordinator</w:t>
            </w:r>
          </w:p>
        </w:tc>
      </w:tr>
      <w:tr w:rsidR="00740C96" w14:paraId="42F62BDE" w14:textId="77777777" w:rsidTr="00B25470">
        <w:trPr>
          <w:trHeight w:val="285"/>
          <w:jc w:val="center"/>
        </w:trPr>
        <w:tc>
          <w:tcPr>
            <w:tcW w:w="2557" w:type="dxa"/>
          </w:tcPr>
          <w:p w14:paraId="1A6C6D94" w14:textId="77777777" w:rsidR="00740C96" w:rsidRDefault="00740C96" w:rsidP="00740C96">
            <w:pPr>
              <w:pBdr>
                <w:top w:val="nil"/>
                <w:left w:val="nil"/>
                <w:bottom w:val="nil"/>
                <w:right w:val="nil"/>
                <w:between w:val="nil"/>
              </w:pBdr>
              <w:spacing w:after="0"/>
              <w:rPr>
                <w:rFonts w:ascii="Calibri" w:eastAsia="Calibri" w:hAnsi="Calibri" w:cs="Calibri"/>
                <w:color w:val="000000"/>
              </w:rPr>
            </w:pPr>
          </w:p>
        </w:tc>
        <w:tc>
          <w:tcPr>
            <w:tcW w:w="4885" w:type="dxa"/>
          </w:tcPr>
          <w:p w14:paraId="4CB47B97" w14:textId="77777777" w:rsidR="00740C96" w:rsidRDefault="00740C96" w:rsidP="00B25470">
            <w:pPr>
              <w:pBdr>
                <w:top w:val="nil"/>
                <w:left w:val="nil"/>
                <w:bottom w:val="nil"/>
                <w:right w:val="nil"/>
                <w:between w:val="nil"/>
              </w:pBdr>
              <w:spacing w:after="0"/>
              <w:ind w:hanging="2"/>
              <w:rPr>
                <w:rFonts w:ascii="Calibri" w:eastAsia="Calibri" w:hAnsi="Calibri" w:cs="Calibri"/>
                <w:color w:val="000000"/>
              </w:rPr>
            </w:pPr>
          </w:p>
        </w:tc>
      </w:tr>
      <w:tr w:rsidR="003A64A2" w14:paraId="02C0F894" w14:textId="77777777" w:rsidTr="00B25470">
        <w:trPr>
          <w:trHeight w:val="260"/>
          <w:jc w:val="center"/>
        </w:trPr>
        <w:tc>
          <w:tcPr>
            <w:tcW w:w="2557" w:type="dxa"/>
          </w:tcPr>
          <w:p w14:paraId="3998E284" w14:textId="14EC6603" w:rsidR="003A64A2" w:rsidRDefault="003A64A2" w:rsidP="00740C96">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Miss Giulia Held</w:t>
            </w:r>
          </w:p>
        </w:tc>
        <w:tc>
          <w:tcPr>
            <w:tcW w:w="4885" w:type="dxa"/>
          </w:tcPr>
          <w:p w14:paraId="3936B4C0" w14:textId="7B76D572"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tc>
      </w:tr>
      <w:tr w:rsidR="003A64A2" w14:paraId="1419C212" w14:textId="77777777" w:rsidTr="00B25470">
        <w:trPr>
          <w:trHeight w:val="260"/>
          <w:jc w:val="center"/>
        </w:trPr>
        <w:tc>
          <w:tcPr>
            <w:tcW w:w="2557" w:type="dxa"/>
          </w:tcPr>
          <w:p w14:paraId="3DCF4F99"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Dr Priscilla Lim</w:t>
            </w:r>
          </w:p>
          <w:p w14:paraId="552D63A4"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Tom Lloyd</w:t>
            </w:r>
          </w:p>
        </w:tc>
        <w:tc>
          <w:tcPr>
            <w:tcW w:w="4885" w:type="dxa"/>
          </w:tcPr>
          <w:p w14:paraId="49547A39" w14:textId="77249866"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Mathematics/Economics/KS3 Coordinator</w:t>
            </w:r>
          </w:p>
          <w:p w14:paraId="48E1A8E9" w14:textId="22D95664"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tc>
      </w:tr>
      <w:tr w:rsidR="003A64A2" w14:paraId="72338DD6" w14:textId="77777777" w:rsidTr="00B25470">
        <w:trPr>
          <w:trHeight w:val="247"/>
          <w:jc w:val="center"/>
        </w:trPr>
        <w:tc>
          <w:tcPr>
            <w:tcW w:w="2557" w:type="dxa"/>
          </w:tcPr>
          <w:p w14:paraId="43EB5AD7" w14:textId="2648F383" w:rsidR="003A64A2" w:rsidRDefault="003A64A2" w:rsidP="003A64A2">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Miss Sophie Vallance</w:t>
            </w:r>
            <w:r w:rsidR="00740C96">
              <w:rPr>
                <w:rFonts w:ascii="Calibri" w:eastAsia="Calibri" w:hAnsi="Calibri" w:cs="Calibri"/>
                <w:color w:val="000000"/>
              </w:rPr>
              <w:br/>
              <w:t>Helen Shires</w:t>
            </w:r>
          </w:p>
          <w:p w14:paraId="3B36F4B2" w14:textId="51F77C03"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c>
          <w:tcPr>
            <w:tcW w:w="4885" w:type="dxa"/>
          </w:tcPr>
          <w:p w14:paraId="03384BB5" w14:textId="499A4057" w:rsidR="003A64A2" w:rsidRDefault="003A64A2" w:rsidP="003A64A2">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r w:rsidR="00740C96">
              <w:rPr>
                <w:rFonts w:ascii="Calibri" w:eastAsia="Calibri" w:hAnsi="Calibri" w:cs="Calibri"/>
                <w:color w:val="000000"/>
              </w:rPr>
              <w:br/>
              <w:t>Mathematics/ Head of Learning</w:t>
            </w:r>
            <w:r w:rsidR="00740C96">
              <w:rPr>
                <w:rFonts w:ascii="Calibri" w:eastAsia="Calibri" w:hAnsi="Calibri" w:cs="Calibri"/>
                <w:color w:val="000000"/>
              </w:rPr>
              <w:br/>
            </w:r>
          </w:p>
          <w:p w14:paraId="4656276E" w14:textId="1E5D5BC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r>
      <w:tr w:rsidR="003A64A2" w14:paraId="1A1CC725" w14:textId="77777777" w:rsidTr="00B25470">
        <w:trPr>
          <w:trHeight w:val="448"/>
          <w:jc w:val="center"/>
        </w:trPr>
        <w:tc>
          <w:tcPr>
            <w:tcW w:w="2557" w:type="dxa"/>
          </w:tcPr>
          <w:p w14:paraId="50A46AE2" w14:textId="77777777" w:rsidR="003A64A2" w:rsidRDefault="003A64A2" w:rsidP="003A64A2">
            <w:pPr>
              <w:pBdr>
                <w:top w:val="nil"/>
                <w:left w:val="nil"/>
                <w:bottom w:val="nil"/>
                <w:right w:val="nil"/>
                <w:between w:val="nil"/>
              </w:pBdr>
              <w:spacing w:after="0"/>
              <w:ind w:hanging="2"/>
              <w:rPr>
                <w:rFonts w:ascii="Calibri" w:eastAsia="Calibri" w:hAnsi="Calibri" w:cs="Calibri"/>
                <w:color w:val="000000"/>
              </w:rPr>
            </w:pPr>
          </w:p>
        </w:tc>
        <w:tc>
          <w:tcPr>
            <w:tcW w:w="4885" w:type="dxa"/>
          </w:tcPr>
          <w:p w14:paraId="37783883" w14:textId="191A0121" w:rsidR="003A64A2" w:rsidRDefault="003A64A2" w:rsidP="003A64A2">
            <w:pPr>
              <w:pBdr>
                <w:top w:val="nil"/>
                <w:left w:val="nil"/>
                <w:bottom w:val="nil"/>
                <w:right w:val="nil"/>
                <w:between w:val="nil"/>
              </w:pBdr>
              <w:spacing w:after="0"/>
              <w:ind w:hanging="2"/>
              <w:rPr>
                <w:rFonts w:ascii="Calibri" w:eastAsia="Calibri" w:hAnsi="Calibri" w:cs="Calibri"/>
                <w:color w:val="000000"/>
              </w:rPr>
            </w:pPr>
          </w:p>
        </w:tc>
      </w:tr>
      <w:tr w:rsidR="003A64A2" w14:paraId="2CB1EB7F" w14:textId="77777777" w:rsidTr="00B25470">
        <w:trPr>
          <w:trHeight w:val="228"/>
          <w:jc w:val="center"/>
        </w:trPr>
        <w:tc>
          <w:tcPr>
            <w:tcW w:w="2557" w:type="dxa"/>
          </w:tcPr>
          <w:p w14:paraId="5D1089D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c>
          <w:tcPr>
            <w:tcW w:w="4885" w:type="dxa"/>
          </w:tcPr>
          <w:p w14:paraId="5E84EE2C"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r>
    </w:tbl>
    <w:p w14:paraId="16CA9A9C" w14:textId="77777777" w:rsidR="00CC34B7" w:rsidRDefault="00CC34B7"/>
    <w:sectPr w:rsidR="00CC34B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0B12" w14:textId="77777777" w:rsidR="00740C96" w:rsidRDefault="00740C96" w:rsidP="00740C96">
      <w:pPr>
        <w:spacing w:after="0"/>
      </w:pPr>
      <w:r>
        <w:separator/>
      </w:r>
    </w:p>
  </w:endnote>
  <w:endnote w:type="continuationSeparator" w:id="0">
    <w:p w14:paraId="08E15B2C" w14:textId="77777777" w:rsidR="00740C96" w:rsidRDefault="00740C96" w:rsidP="00740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000F" w14:textId="77777777" w:rsidR="00FD551E" w:rsidRPr="00FD551E" w:rsidRDefault="00FD551E" w:rsidP="00FD551E">
    <w:pPr>
      <w:pBdr>
        <w:top w:val="thinThickSmallGap" w:sz="24" w:space="1" w:color="622423"/>
      </w:pBdr>
      <w:tabs>
        <w:tab w:val="center" w:pos="4513"/>
        <w:tab w:val="right" w:pos="9026"/>
      </w:tabs>
      <w:spacing w:after="0"/>
      <w:rPr>
        <w:rFonts w:ascii="Cambria" w:eastAsia="Times New Roman" w:hAnsi="Cambria" w:cs="Times New Roman"/>
      </w:rPr>
    </w:pPr>
    <w:r w:rsidRPr="00FD551E">
      <w:rPr>
        <w:rFonts w:ascii="Calibri" w:eastAsia="Times New Roman" w:hAnsi="Calibri" w:cs="Calibri"/>
        <w:sz w:val="20"/>
        <w:szCs w:val="20"/>
      </w:rPr>
      <w:ptab w:relativeTo="margin" w:alignment="right" w:leader="none"/>
    </w:r>
    <w:r w:rsidRPr="00FD551E">
      <w:rPr>
        <w:rFonts w:ascii="Calibri" w:eastAsia="Times New Roman" w:hAnsi="Calibri" w:cs="Calibri"/>
        <w:sz w:val="20"/>
        <w:szCs w:val="20"/>
      </w:rPr>
      <w:t xml:space="preserve">Page </w:t>
    </w:r>
    <w:r w:rsidRPr="00FD551E">
      <w:rPr>
        <w:rFonts w:ascii="Calibri" w:eastAsia="Times New Roman" w:hAnsi="Calibri" w:cs="Calibri"/>
        <w:sz w:val="20"/>
        <w:szCs w:val="20"/>
      </w:rPr>
      <w:fldChar w:fldCharType="begin"/>
    </w:r>
    <w:r w:rsidRPr="00FD551E">
      <w:rPr>
        <w:rFonts w:ascii="Calibri" w:eastAsia="Calibri" w:hAnsi="Calibri" w:cs="Calibri"/>
        <w:sz w:val="20"/>
        <w:szCs w:val="20"/>
      </w:rPr>
      <w:instrText xml:space="preserve"> PAGE   \* MERGEFORMAT </w:instrText>
    </w:r>
    <w:r w:rsidRPr="00FD551E">
      <w:rPr>
        <w:rFonts w:ascii="Calibri" w:eastAsia="Times New Roman" w:hAnsi="Calibri" w:cs="Calibri"/>
        <w:sz w:val="20"/>
        <w:szCs w:val="20"/>
      </w:rPr>
      <w:fldChar w:fldCharType="separate"/>
    </w:r>
    <w:r w:rsidRPr="00FD551E">
      <w:rPr>
        <w:rFonts w:ascii="Calibri" w:eastAsia="Times New Roman" w:hAnsi="Calibri" w:cs="Calibri"/>
        <w:sz w:val="20"/>
        <w:szCs w:val="20"/>
      </w:rPr>
      <w:t>1</w:t>
    </w:r>
    <w:r w:rsidRPr="00FD551E">
      <w:rPr>
        <w:rFonts w:ascii="Calibri" w:eastAsia="Times New Roman" w:hAnsi="Calibri" w:cs="Calibri"/>
        <w:noProof/>
        <w:sz w:val="20"/>
        <w:szCs w:val="20"/>
      </w:rPr>
      <w:fldChar w:fldCharType="end"/>
    </w:r>
  </w:p>
  <w:p w14:paraId="1B2953F9" w14:textId="77777777" w:rsidR="00740C96" w:rsidRPr="00FD551E" w:rsidRDefault="00740C96" w:rsidP="00FD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4B43B" w14:textId="77777777" w:rsidR="00740C96" w:rsidRDefault="00740C96" w:rsidP="00740C96">
      <w:pPr>
        <w:spacing w:after="0"/>
      </w:pPr>
      <w:r>
        <w:separator/>
      </w:r>
    </w:p>
  </w:footnote>
  <w:footnote w:type="continuationSeparator" w:id="0">
    <w:p w14:paraId="61E8B3E7" w14:textId="77777777" w:rsidR="00740C96" w:rsidRDefault="00740C96" w:rsidP="00740C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080" w14:textId="77777777" w:rsidR="00740C96" w:rsidRPr="00740C96" w:rsidRDefault="00740C96" w:rsidP="00740C96">
    <w:pPr>
      <w:pBdr>
        <w:bottom w:val="thickThinSmallGap" w:sz="24" w:space="1" w:color="622423"/>
      </w:pBdr>
      <w:tabs>
        <w:tab w:val="center" w:pos="4513"/>
        <w:tab w:val="right" w:pos="9026"/>
      </w:tabs>
      <w:spacing w:after="0"/>
      <w:rPr>
        <w:rFonts w:ascii="Arial" w:eastAsia="Times New Roman" w:hAnsi="Arial" w:cs="Arial"/>
        <w:color w:val="7F7F7F"/>
        <w:sz w:val="32"/>
        <w:szCs w:val="32"/>
      </w:rPr>
    </w:pPr>
    <w:r w:rsidRPr="00740C96">
      <w:rPr>
        <w:rFonts w:ascii="Arial" w:eastAsia="Calibri" w:hAnsi="Arial" w:cs="Arial"/>
        <w:noProof/>
        <w:sz w:val="20"/>
        <w:szCs w:val="20"/>
        <w:lang w:eastAsia="en-GB"/>
      </w:rPr>
      <w:drawing>
        <wp:anchor distT="0" distB="0" distL="114300" distR="114300" simplePos="0" relativeHeight="251659264" behindDoc="1" locked="0" layoutInCell="1" allowOverlap="1" wp14:anchorId="77B9B9AF" wp14:editId="2B156ABB">
          <wp:simplePos x="0" y="0"/>
          <wp:positionH relativeFrom="column">
            <wp:posOffset>5721778</wp:posOffset>
          </wp:positionH>
          <wp:positionV relativeFrom="paragraph">
            <wp:posOffset>-210551</wp:posOffset>
          </wp:positionV>
          <wp:extent cx="510363" cy="333559"/>
          <wp:effectExtent l="0" t="0" r="4445" b="0"/>
          <wp:wrapNone/>
          <wp:docPr id="9" name="Picture 9" descr="D:\Logos\CMYK\TIFF\HinchleyWood_Trees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s\CMYK\TIFF\HinchleyWood_Trees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739" cy="335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C96">
      <w:rPr>
        <w:rFonts w:ascii="Arial" w:eastAsia="Times New Roman" w:hAnsi="Arial" w:cs="Arial"/>
        <w:color w:val="7F7F7F"/>
        <w:sz w:val="32"/>
        <w:szCs w:val="32"/>
      </w:rPr>
      <w:t xml:space="preserve"> </w:t>
    </w:r>
  </w:p>
  <w:p w14:paraId="72426215" w14:textId="77777777" w:rsidR="00740C96" w:rsidRPr="00740C96" w:rsidRDefault="00740C96" w:rsidP="00740C96">
    <w:pPr>
      <w:tabs>
        <w:tab w:val="center" w:pos="4513"/>
        <w:tab w:val="right" w:pos="9026"/>
      </w:tabs>
      <w:spacing w:after="0"/>
      <w:rPr>
        <w:rFonts w:ascii="Calibri" w:eastAsia="Calibri" w:hAnsi="Calibri" w:cs="Times New Roman"/>
      </w:rPr>
    </w:pPr>
  </w:p>
  <w:p w14:paraId="24826B85" w14:textId="77777777" w:rsidR="00740C96" w:rsidRDefault="00740C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A2"/>
    <w:rsid w:val="0032015E"/>
    <w:rsid w:val="003A64A2"/>
    <w:rsid w:val="00740C96"/>
    <w:rsid w:val="00B153B5"/>
    <w:rsid w:val="00B24115"/>
    <w:rsid w:val="00CC34B7"/>
    <w:rsid w:val="00E354A0"/>
    <w:rsid w:val="00FD5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0EBB"/>
  <w15:chartTrackingRefBased/>
  <w15:docId w15:val="{3AEA4D37-5E50-4334-AA93-849931140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4A2"/>
    <w:pPr>
      <w:spacing w:after="200" w:line="240" w:lineRule="auto"/>
    </w:pPr>
    <w:rPr>
      <w:kern w:val="0"/>
      <w14:ligatures w14:val="none"/>
    </w:rPr>
  </w:style>
  <w:style w:type="paragraph" w:styleId="Heading1">
    <w:name w:val="heading 1"/>
    <w:basedOn w:val="Normal"/>
    <w:next w:val="Normal"/>
    <w:link w:val="Heading1Char"/>
    <w:qFormat/>
    <w:rsid w:val="003A64A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A64A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A64A2"/>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A64A2"/>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A64A2"/>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A64A2"/>
    <w:pPr>
      <w:keepNext/>
      <w:keepLines/>
      <w:spacing w:before="40" w:after="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A64A2"/>
    <w:pPr>
      <w:keepNext/>
      <w:keepLines/>
      <w:spacing w:before="40" w:after="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A64A2"/>
    <w:pPr>
      <w:keepNext/>
      <w:keepLines/>
      <w:spacing w:after="0"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A64A2"/>
    <w:pPr>
      <w:keepNext/>
      <w:keepLines/>
      <w:spacing w:after="0"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64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4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4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4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4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4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4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4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4A2"/>
    <w:rPr>
      <w:rFonts w:eastAsiaTheme="majorEastAsia" w:cstheme="majorBidi"/>
      <w:color w:val="272727" w:themeColor="text1" w:themeTint="D8"/>
    </w:rPr>
  </w:style>
  <w:style w:type="paragraph" w:styleId="Title">
    <w:name w:val="Title"/>
    <w:basedOn w:val="Normal"/>
    <w:next w:val="Normal"/>
    <w:link w:val="TitleChar"/>
    <w:uiPriority w:val="10"/>
    <w:qFormat/>
    <w:rsid w:val="003A64A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A64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4A2"/>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A64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4A2"/>
    <w:pPr>
      <w:spacing w:before="160" w:after="160" w:line="278"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A64A2"/>
    <w:rPr>
      <w:i/>
      <w:iCs/>
      <w:color w:val="404040" w:themeColor="text1" w:themeTint="BF"/>
    </w:rPr>
  </w:style>
  <w:style w:type="paragraph" w:styleId="ListParagraph">
    <w:name w:val="List Paragraph"/>
    <w:basedOn w:val="Normal"/>
    <w:uiPriority w:val="34"/>
    <w:qFormat/>
    <w:rsid w:val="003A64A2"/>
    <w:pPr>
      <w:spacing w:after="160" w:line="278" w:lineRule="auto"/>
      <w:ind w:left="720"/>
      <w:contextualSpacing/>
    </w:pPr>
    <w:rPr>
      <w:kern w:val="2"/>
      <w14:ligatures w14:val="standardContextual"/>
    </w:rPr>
  </w:style>
  <w:style w:type="character" w:styleId="IntenseEmphasis">
    <w:name w:val="Intense Emphasis"/>
    <w:basedOn w:val="DefaultParagraphFont"/>
    <w:uiPriority w:val="21"/>
    <w:qFormat/>
    <w:rsid w:val="003A64A2"/>
    <w:rPr>
      <w:i/>
      <w:iCs/>
      <w:color w:val="0F4761" w:themeColor="accent1" w:themeShade="BF"/>
    </w:rPr>
  </w:style>
  <w:style w:type="paragraph" w:styleId="IntenseQuote">
    <w:name w:val="Intense Quote"/>
    <w:basedOn w:val="Normal"/>
    <w:next w:val="Normal"/>
    <w:link w:val="IntenseQuoteChar"/>
    <w:uiPriority w:val="30"/>
    <w:qFormat/>
    <w:rsid w:val="003A64A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A64A2"/>
    <w:rPr>
      <w:i/>
      <w:iCs/>
      <w:color w:val="0F4761" w:themeColor="accent1" w:themeShade="BF"/>
    </w:rPr>
  </w:style>
  <w:style w:type="character" w:styleId="IntenseReference">
    <w:name w:val="Intense Reference"/>
    <w:basedOn w:val="DefaultParagraphFont"/>
    <w:uiPriority w:val="32"/>
    <w:qFormat/>
    <w:rsid w:val="003A64A2"/>
    <w:rPr>
      <w:b/>
      <w:bCs/>
      <w:smallCaps/>
      <w:color w:val="0F4761" w:themeColor="accent1" w:themeShade="BF"/>
      <w:spacing w:val="5"/>
    </w:rPr>
  </w:style>
  <w:style w:type="character" w:styleId="Hyperlink">
    <w:name w:val="Hyperlink"/>
    <w:basedOn w:val="DefaultParagraphFont"/>
    <w:uiPriority w:val="99"/>
    <w:unhideWhenUsed/>
    <w:rsid w:val="003A64A2"/>
    <w:rPr>
      <w:color w:val="467886" w:themeColor="hyperlink"/>
      <w:u w:val="single"/>
    </w:rPr>
  </w:style>
  <w:style w:type="table" w:styleId="TableGrid">
    <w:name w:val="Table Grid"/>
    <w:basedOn w:val="TableNormal"/>
    <w:uiPriority w:val="59"/>
    <w:rsid w:val="003A64A2"/>
    <w:pPr>
      <w:spacing w:after="0" w:line="240" w:lineRule="auto"/>
    </w:pPr>
    <w:rPr>
      <w:rFonts w:ascii="Arial"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0C96"/>
    <w:pPr>
      <w:tabs>
        <w:tab w:val="center" w:pos="4513"/>
        <w:tab w:val="right" w:pos="9026"/>
      </w:tabs>
      <w:spacing w:after="0"/>
    </w:pPr>
  </w:style>
  <w:style w:type="character" w:customStyle="1" w:styleId="HeaderChar">
    <w:name w:val="Header Char"/>
    <w:basedOn w:val="DefaultParagraphFont"/>
    <w:link w:val="Header"/>
    <w:uiPriority w:val="99"/>
    <w:rsid w:val="00740C96"/>
    <w:rPr>
      <w:kern w:val="0"/>
      <w14:ligatures w14:val="none"/>
    </w:rPr>
  </w:style>
  <w:style w:type="paragraph" w:styleId="Footer">
    <w:name w:val="footer"/>
    <w:basedOn w:val="Normal"/>
    <w:link w:val="FooterChar"/>
    <w:uiPriority w:val="99"/>
    <w:unhideWhenUsed/>
    <w:rsid w:val="00740C96"/>
    <w:pPr>
      <w:tabs>
        <w:tab w:val="center" w:pos="4513"/>
        <w:tab w:val="right" w:pos="9026"/>
      </w:tabs>
      <w:spacing w:after="0"/>
    </w:pPr>
  </w:style>
  <w:style w:type="character" w:customStyle="1" w:styleId="FooterChar">
    <w:name w:val="Footer Char"/>
    <w:basedOn w:val="DefaultParagraphFont"/>
    <w:link w:val="Footer"/>
    <w:uiPriority w:val="99"/>
    <w:rsid w:val="00740C9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Rogers</dc:creator>
  <cp:keywords/>
  <dc:description/>
  <cp:lastModifiedBy>Malwina Kolebuk</cp:lastModifiedBy>
  <cp:revision>2</cp:revision>
  <dcterms:created xsi:type="dcterms:W3CDTF">2026-03-05T09:14:00Z</dcterms:created>
  <dcterms:modified xsi:type="dcterms:W3CDTF">2026-03-05T11:30:00Z</dcterms:modified>
</cp:coreProperties>
</file>