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7E" w:rsidRDefault="001C192E">
      <w:pPr>
        <w:widowControl/>
        <w:ind w:left="0" w:right="115" w:hanging="2"/>
        <w:rPr>
          <w:rFonts w:ascii="Arial" w:eastAsia="Arial" w:hAnsi="Arial" w:cs="Arial"/>
          <w:sz w:val="22"/>
          <w:szCs w:val="22"/>
        </w:rPr>
      </w:pPr>
      <w:r>
        <w:rPr>
          <w:noProof/>
          <w:lang w:val="en-GB" w:eastAsia="en-GB"/>
        </w:rPr>
        <mc:AlternateContent>
          <mc:Choice Requires="wpg">
            <w:drawing>
              <wp:anchor distT="0" distB="0" distL="114300" distR="114300" simplePos="0" relativeHeight="251658240" behindDoc="0" locked="0" layoutInCell="1" hidden="0" allowOverlap="1">
                <wp:simplePos x="0" y="0"/>
                <wp:positionH relativeFrom="column">
                  <wp:posOffset>-673099</wp:posOffset>
                </wp:positionH>
                <wp:positionV relativeFrom="paragraph">
                  <wp:posOffset>-292099</wp:posOffset>
                </wp:positionV>
                <wp:extent cx="1332865" cy="1231265"/>
                <wp:effectExtent l="0" t="0" r="0" b="0"/>
                <wp:wrapNone/>
                <wp:docPr id="2" name=""/>
                <wp:cNvGraphicFramePr/>
                <a:graphic xmlns:a="http://schemas.openxmlformats.org/drawingml/2006/main">
                  <a:graphicData uri="http://schemas.microsoft.com/office/word/2010/wordprocessingGroup">
                    <wpg:wgp>
                      <wpg:cNvGrpSpPr/>
                      <wpg:grpSpPr>
                        <a:xfrm>
                          <a:off x="0" y="0"/>
                          <a:ext cx="1332865" cy="1231265"/>
                          <a:chOff x="4679568" y="3164368"/>
                          <a:chExt cx="1332865" cy="1231265"/>
                        </a:xfrm>
                      </wpg:grpSpPr>
                      <wpg:grpSp>
                        <wpg:cNvPr id="1" name="Group 1"/>
                        <wpg:cNvGrpSpPr/>
                        <wpg:grpSpPr>
                          <a:xfrm>
                            <a:off x="4679568" y="3164368"/>
                            <a:ext cx="1332865" cy="1231265"/>
                            <a:chOff x="2400" y="4916"/>
                            <a:chExt cx="2099" cy="1864"/>
                          </a:xfrm>
                        </wpg:grpSpPr>
                        <wps:wsp>
                          <wps:cNvPr id="3" name="Rectangle 3"/>
                          <wps:cNvSpPr/>
                          <wps:spPr>
                            <a:xfrm>
                              <a:off x="2400" y="4916"/>
                              <a:ext cx="2075" cy="1850"/>
                            </a:xfrm>
                            <a:prstGeom prst="rect">
                              <a:avLst/>
                            </a:prstGeom>
                            <a:noFill/>
                            <a:ln>
                              <a:noFill/>
                            </a:ln>
                          </wps:spPr>
                          <wps:txbx>
                            <w:txbxContent>
                              <w:p w:rsidR="002C417E" w:rsidRDefault="002C417E">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5" name="Shape 5" descr="Broxbourne new letter logo"/>
                            <pic:cNvPicPr preferRelativeResize="0"/>
                          </pic:nvPicPr>
                          <pic:blipFill rotWithShape="1">
                            <a:blip r:embed="rId7">
                              <a:alphaModFix/>
                            </a:blip>
                            <a:srcRect/>
                            <a:stretch/>
                          </pic:blipFill>
                          <pic:spPr>
                            <a:xfrm>
                              <a:off x="2802" y="4916"/>
                              <a:ext cx="1293" cy="1457"/>
                            </a:xfrm>
                            <a:prstGeom prst="rect">
                              <a:avLst/>
                            </a:prstGeom>
                            <a:noFill/>
                            <a:ln>
                              <a:noFill/>
                            </a:ln>
                          </pic:spPr>
                        </pic:pic>
                        <wps:wsp>
                          <wps:cNvPr id="4" name="Rectangle 4"/>
                          <wps:cNvSpPr/>
                          <wps:spPr>
                            <a:xfrm>
                              <a:off x="2400" y="6313"/>
                              <a:ext cx="2099" cy="467"/>
                            </a:xfrm>
                            <a:prstGeom prst="rect">
                              <a:avLst/>
                            </a:prstGeom>
                            <a:noFill/>
                            <a:ln>
                              <a:noFill/>
                            </a:ln>
                          </wps:spPr>
                          <wps:txbx>
                            <w:txbxContent>
                              <w:p w:rsidR="002C417E" w:rsidRDefault="002C417E">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-673099</wp:posOffset>
                </wp:positionH>
                <wp:positionV relativeFrom="paragraph">
                  <wp:posOffset>-292099</wp:posOffset>
                </wp:positionV>
                <wp:extent cx="1332865" cy="123126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32865" cy="1231265"/>
                        </a:xfrm>
                        <a:prstGeom prst="rect"/>
                        <a:ln/>
                      </pic:spPr>
                    </pic:pic>
                  </a:graphicData>
                </a:graphic>
              </wp:anchor>
            </w:drawing>
          </mc:Fallback>
        </mc:AlternateContent>
      </w:r>
    </w:p>
    <w:p w:rsidR="002C417E" w:rsidRDefault="001C192E">
      <w:pPr>
        <w:widowControl/>
        <w:ind w:left="0" w:right="115" w:hanging="2"/>
        <w:rPr>
          <w:rFonts w:ascii="Arial" w:eastAsia="Arial" w:hAnsi="Arial" w:cs="Arial"/>
          <w:sz w:val="22"/>
          <w:szCs w:val="22"/>
        </w:rPr>
      </w:pPr>
      <w:r>
        <w:rPr>
          <w:noProof/>
          <w:lang w:val="en-GB" w:eastAsia="en-GB"/>
        </w:rPr>
        <mc:AlternateContent>
          <mc:Choice Requires="wps">
            <w:drawing>
              <wp:anchor distT="0" distB="0" distL="114300" distR="114300" simplePos="0" relativeHeight="251659264" behindDoc="0" locked="0" layoutInCell="1" hidden="0" allowOverlap="1">
                <wp:simplePos x="0" y="0"/>
                <wp:positionH relativeFrom="column">
                  <wp:posOffset>1033780</wp:posOffset>
                </wp:positionH>
                <wp:positionV relativeFrom="paragraph">
                  <wp:posOffset>11430</wp:posOffset>
                </wp:positionV>
                <wp:extent cx="3990975" cy="581025"/>
                <wp:effectExtent l="0" t="0" r="28575" b="28575"/>
                <wp:wrapSquare wrapText="bothSides" distT="0" distB="0" distL="114300" distR="114300"/>
                <wp:docPr id="1" name=""/>
                <wp:cNvGraphicFramePr/>
                <a:graphic xmlns:a="http://schemas.openxmlformats.org/drawingml/2006/main">
                  <a:graphicData uri="http://schemas.microsoft.com/office/word/2010/wordprocessingShape">
                    <wps:wsp>
                      <wps:cNvSpPr/>
                      <wps:spPr>
                        <a:xfrm>
                          <a:off x="0" y="0"/>
                          <a:ext cx="3990975" cy="581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C417E" w:rsidRDefault="002C417E">
                            <w:pPr>
                              <w:spacing w:line="240" w:lineRule="auto"/>
                              <w:ind w:left="0" w:right="115" w:hanging="2"/>
                            </w:pPr>
                          </w:p>
                          <w:p w:rsidR="002C417E" w:rsidRPr="001C192E" w:rsidRDefault="001C192E">
                            <w:pPr>
                              <w:spacing w:line="240" w:lineRule="auto"/>
                              <w:ind w:left="1" w:right="115" w:hanging="3"/>
                              <w:jc w:val="center"/>
                              <w:rPr>
                                <w:b/>
                              </w:rPr>
                            </w:pPr>
                            <w:r w:rsidRPr="001C192E">
                              <w:rPr>
                                <w:rFonts w:ascii="Verdana" w:eastAsia="Verdana" w:hAnsi="Verdana" w:cs="Verdana"/>
                                <w:b/>
                                <w:color w:val="000000"/>
                                <w:sz w:val="28"/>
                              </w:rPr>
                              <w:t>THE MATHEMATICS DEPARTMENT</w:t>
                            </w:r>
                          </w:p>
                          <w:p w:rsidR="002C417E" w:rsidRDefault="002C417E">
                            <w:pPr>
                              <w:spacing w:line="240" w:lineRule="auto"/>
                              <w:ind w:left="0" w:right="115" w:hanging="2"/>
                            </w:pPr>
                          </w:p>
                          <w:p w:rsidR="002C417E" w:rsidRDefault="002C417E">
                            <w:pPr>
                              <w:spacing w:line="240" w:lineRule="auto"/>
                              <w:ind w:left="0" w:hanging="2"/>
                            </w:pPr>
                          </w:p>
                          <w:p w:rsidR="002C417E" w:rsidRDefault="002C417E">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81.4pt;margin-top:.9pt;width:314.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">
                <v:stroke startarrowwidth="narrow" startarrowlength="short" endarrowwidth="narrow" endarrowlength="short"/>
                <v:textbox inset="2.53958mm,1.2694mm,2.53958mm,1.2694mm">
                  <w:txbxContent>
                    <w:p w:rsidR="002C417E" w:rsidRDefault="002C417E">
                      <w:pPr>
                        <w:spacing w:line="240" w:lineRule="auto"/>
                        <w:ind w:left="0" w:right="115" w:hanging="2"/>
                      </w:pPr>
                    </w:p>
                    <w:p w:rsidR="002C417E" w:rsidRPr="001C192E" w:rsidRDefault="001C192E">
                      <w:pPr>
                        <w:spacing w:line="240" w:lineRule="auto"/>
                        <w:ind w:left="1" w:right="115" w:hanging="3"/>
                        <w:jc w:val="center"/>
                        <w:rPr>
                          <w:b/>
                        </w:rPr>
                      </w:pPr>
                      <w:r w:rsidRPr="001C192E">
                        <w:rPr>
                          <w:rFonts w:ascii="Verdana" w:eastAsia="Verdana" w:hAnsi="Verdana" w:cs="Verdana"/>
                          <w:b/>
                          <w:color w:val="000000"/>
                          <w:sz w:val="28"/>
                        </w:rPr>
                        <w:t>THE MATHEMATICS DEPARTMENT</w:t>
                      </w:r>
                    </w:p>
                    <w:p w:rsidR="002C417E" w:rsidRDefault="002C417E">
                      <w:pPr>
                        <w:spacing w:line="240" w:lineRule="auto"/>
                        <w:ind w:left="0" w:right="115" w:hanging="2"/>
                      </w:pPr>
                    </w:p>
                    <w:p w:rsidR="002C417E" w:rsidRDefault="002C417E">
                      <w:pPr>
                        <w:spacing w:line="240" w:lineRule="auto"/>
                        <w:ind w:left="0" w:hanging="2"/>
                      </w:pPr>
                    </w:p>
                    <w:p w:rsidR="002C417E" w:rsidRDefault="002C417E">
                      <w:pPr>
                        <w:spacing w:line="240" w:lineRule="auto"/>
                        <w:ind w:left="0" w:hanging="2"/>
                      </w:pPr>
                    </w:p>
                  </w:txbxContent>
                </v:textbox>
                <w10:wrap type="square"/>
              </v:rect>
            </w:pict>
          </mc:Fallback>
        </mc:AlternateContent>
      </w:r>
    </w:p>
    <w:p w:rsidR="002C417E" w:rsidRDefault="002C417E">
      <w:pPr>
        <w:widowControl/>
        <w:ind w:left="0" w:right="205" w:hanging="2"/>
        <w:rPr>
          <w:rFonts w:ascii="Arial" w:eastAsia="Arial" w:hAnsi="Arial" w:cs="Arial"/>
          <w:sz w:val="22"/>
          <w:szCs w:val="22"/>
        </w:rPr>
      </w:pPr>
    </w:p>
    <w:p w:rsidR="002C417E" w:rsidRDefault="002C417E">
      <w:pPr>
        <w:widowControl/>
        <w:ind w:left="0" w:right="205" w:hanging="2"/>
        <w:rPr>
          <w:rFonts w:ascii="Arial" w:eastAsia="Arial" w:hAnsi="Arial" w:cs="Arial"/>
          <w:sz w:val="22"/>
          <w:szCs w:val="22"/>
        </w:rPr>
      </w:pPr>
    </w:p>
    <w:p w:rsidR="002C417E" w:rsidRDefault="002C417E">
      <w:pPr>
        <w:widowControl/>
        <w:ind w:left="0" w:right="205" w:hanging="2"/>
        <w:rPr>
          <w:rFonts w:ascii="Arial" w:eastAsia="Arial" w:hAnsi="Arial" w:cs="Arial"/>
          <w:sz w:val="22"/>
          <w:szCs w:val="22"/>
        </w:rPr>
      </w:pPr>
    </w:p>
    <w:p w:rsidR="002C417E" w:rsidRDefault="002C417E">
      <w:pPr>
        <w:widowControl/>
        <w:ind w:left="0" w:right="205" w:hanging="2"/>
        <w:rPr>
          <w:rFonts w:ascii="Arial" w:eastAsia="Arial" w:hAnsi="Arial" w:cs="Arial"/>
          <w:sz w:val="22"/>
          <w:szCs w:val="22"/>
        </w:rPr>
      </w:pPr>
    </w:p>
    <w:p w:rsidR="002C417E" w:rsidRDefault="001C192E">
      <w:pPr>
        <w:widowControl/>
        <w:ind w:left="0" w:right="205" w:hanging="2"/>
        <w:jc w:val="both"/>
        <w:rPr>
          <w:rFonts w:ascii="Arial" w:eastAsia="Arial" w:hAnsi="Arial" w:cs="Arial"/>
          <w:sz w:val="22"/>
          <w:szCs w:val="22"/>
          <w:u w:val="single"/>
        </w:rPr>
      </w:pPr>
      <w:r>
        <w:rPr>
          <w:rFonts w:ascii="Arial" w:eastAsia="Arial" w:hAnsi="Arial" w:cs="Arial"/>
          <w:b/>
          <w:sz w:val="22"/>
          <w:szCs w:val="22"/>
          <w:u w:val="single"/>
        </w:rPr>
        <w:t xml:space="preserve">The Staff and Accommodation </w:t>
      </w:r>
    </w:p>
    <w:p w:rsidR="002C417E" w:rsidRDefault="002C417E">
      <w:pPr>
        <w:widowControl/>
        <w:ind w:left="0" w:right="205" w:hanging="2"/>
        <w:jc w:val="both"/>
        <w:rPr>
          <w:rFonts w:ascii="Arial" w:eastAsia="Arial" w:hAnsi="Arial" w:cs="Arial"/>
          <w:sz w:val="22"/>
          <w:szCs w:val="22"/>
          <w:u w:val="single"/>
        </w:rPr>
      </w:pPr>
    </w:p>
    <w:p w:rsidR="002C417E" w:rsidRDefault="001C192E">
      <w:pPr>
        <w:widowControl/>
        <w:pBdr>
          <w:top w:val="nil"/>
          <w:left w:val="nil"/>
          <w:bottom w:val="nil"/>
          <w:right w:val="nil"/>
          <w:between w:val="nil"/>
        </w:pBdr>
        <w:spacing w:line="240" w:lineRule="auto"/>
        <w:ind w:left="0" w:hanging="2"/>
        <w:jc w:val="both"/>
        <w:rPr>
          <w:rFonts w:ascii="Arial" w:eastAsia="Arial" w:hAnsi="Arial" w:cs="Arial"/>
          <w:sz w:val="22"/>
          <w:szCs w:val="22"/>
        </w:rPr>
      </w:pPr>
      <w:r>
        <w:rPr>
          <w:rFonts w:ascii="Arial" w:eastAsia="Arial" w:hAnsi="Arial" w:cs="Arial"/>
          <w:color w:val="000000"/>
          <w:sz w:val="22"/>
          <w:szCs w:val="22"/>
        </w:rPr>
        <w:t xml:space="preserve">The </w:t>
      </w:r>
      <w:proofErr w:type="spellStart"/>
      <w:r>
        <w:rPr>
          <w:rFonts w:ascii="Arial" w:eastAsia="Arial" w:hAnsi="Arial" w:cs="Arial"/>
          <w:color w:val="000000"/>
          <w:sz w:val="22"/>
          <w:szCs w:val="22"/>
        </w:rPr>
        <w:t>Maths</w:t>
      </w:r>
      <w:proofErr w:type="spellEnd"/>
      <w:r>
        <w:rPr>
          <w:rFonts w:ascii="Arial" w:eastAsia="Arial" w:hAnsi="Arial" w:cs="Arial"/>
          <w:color w:val="000000"/>
          <w:sz w:val="22"/>
          <w:szCs w:val="22"/>
        </w:rPr>
        <w:t xml:space="preserve"> department consists of </w:t>
      </w:r>
      <w:r>
        <w:rPr>
          <w:rFonts w:ascii="Arial" w:eastAsia="Arial" w:hAnsi="Arial" w:cs="Arial"/>
          <w:sz w:val="22"/>
          <w:szCs w:val="22"/>
        </w:rPr>
        <w:t xml:space="preserve">ten </w:t>
      </w:r>
      <w:r>
        <w:rPr>
          <w:rFonts w:ascii="Arial" w:eastAsia="Arial" w:hAnsi="Arial" w:cs="Arial"/>
          <w:color w:val="000000"/>
          <w:sz w:val="22"/>
          <w:szCs w:val="22"/>
        </w:rPr>
        <w:t xml:space="preserve">specialist mathematicians.  All colleagues teach across the age and ability range.  All teachers are able to teach from Key Stage 3 to Key Stage 5.  The department has </w:t>
      </w:r>
      <w:r>
        <w:rPr>
          <w:rFonts w:ascii="Arial" w:eastAsia="Arial" w:hAnsi="Arial" w:cs="Arial"/>
          <w:sz w:val="22"/>
          <w:szCs w:val="22"/>
        </w:rPr>
        <w:t>ten brand new</w:t>
      </w:r>
      <w:r>
        <w:rPr>
          <w:rFonts w:ascii="Arial" w:eastAsia="Arial" w:hAnsi="Arial" w:cs="Arial"/>
          <w:color w:val="000000"/>
          <w:sz w:val="22"/>
          <w:szCs w:val="22"/>
        </w:rPr>
        <w:t xml:space="preserve"> teaching rooms and a large departmental office, all situated in our</w:t>
      </w:r>
      <w:r>
        <w:rPr>
          <w:rFonts w:ascii="Arial" w:eastAsia="Arial" w:hAnsi="Arial" w:cs="Arial"/>
          <w:sz w:val="22"/>
          <w:szCs w:val="22"/>
        </w:rPr>
        <w:t xml:space="preserve"> state of the art</w:t>
      </w:r>
      <w:r>
        <w:rPr>
          <w:rFonts w:ascii="Arial" w:eastAsia="Arial" w:hAnsi="Arial" w:cs="Arial"/>
          <w:color w:val="000000"/>
          <w:sz w:val="22"/>
          <w:szCs w:val="22"/>
        </w:rPr>
        <w:t xml:space="preserve"> multi-</w:t>
      </w:r>
      <w:r>
        <w:rPr>
          <w:rFonts w:ascii="Arial" w:eastAsia="Arial" w:hAnsi="Arial" w:cs="Arial"/>
          <w:sz w:val="22"/>
          <w:szCs w:val="22"/>
        </w:rPr>
        <w:t>million pound school building</w:t>
      </w:r>
      <w:r>
        <w:rPr>
          <w:rFonts w:ascii="Arial" w:eastAsia="Arial" w:hAnsi="Arial" w:cs="Arial"/>
          <w:color w:val="000000"/>
          <w:sz w:val="22"/>
          <w:szCs w:val="22"/>
        </w:rPr>
        <w:t xml:space="preserve">.  </w:t>
      </w:r>
    </w:p>
    <w:p w:rsidR="002C417E" w:rsidRDefault="002C417E">
      <w:pPr>
        <w:widowControl/>
        <w:pBdr>
          <w:top w:val="nil"/>
          <w:left w:val="nil"/>
          <w:bottom w:val="nil"/>
          <w:right w:val="nil"/>
          <w:between w:val="nil"/>
        </w:pBdr>
        <w:spacing w:line="240" w:lineRule="auto"/>
        <w:ind w:left="0" w:hanging="2"/>
        <w:jc w:val="both"/>
        <w:rPr>
          <w:rFonts w:ascii="Arial" w:eastAsia="Arial" w:hAnsi="Arial" w:cs="Arial"/>
          <w:sz w:val="22"/>
          <w:szCs w:val="22"/>
        </w:rPr>
      </w:pPr>
    </w:p>
    <w:p w:rsidR="002C417E" w:rsidRDefault="001C192E">
      <w:pPr>
        <w:pStyle w:val="Heading4"/>
        <w:ind w:left="0" w:hanging="2"/>
        <w:rPr>
          <w:u w:val="single"/>
        </w:rPr>
      </w:pPr>
      <w:r>
        <w:rPr>
          <w:u w:val="single"/>
        </w:rPr>
        <w:t>Resources</w:t>
      </w:r>
    </w:p>
    <w:p w:rsidR="002C417E" w:rsidRDefault="002C417E">
      <w:pPr>
        <w:ind w:left="0" w:hanging="2"/>
        <w:jc w:val="both"/>
        <w:rPr>
          <w:rFonts w:ascii="Arial" w:eastAsia="Arial" w:hAnsi="Arial" w:cs="Arial"/>
          <w:sz w:val="22"/>
          <w:szCs w:val="22"/>
        </w:rPr>
      </w:pPr>
    </w:p>
    <w:p w:rsidR="002C417E" w:rsidRDefault="001C192E">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Each classroom is equipped with a</w:t>
      </w:r>
      <w:r>
        <w:rPr>
          <w:rFonts w:ascii="Arial" w:eastAsia="Arial" w:hAnsi="Arial" w:cs="Arial"/>
          <w:sz w:val="22"/>
          <w:szCs w:val="22"/>
        </w:rPr>
        <w:t xml:space="preserve"> brand new</w:t>
      </w:r>
      <w:r>
        <w:rPr>
          <w:rFonts w:ascii="Arial" w:eastAsia="Arial" w:hAnsi="Arial" w:cs="Arial"/>
          <w:color w:val="000000"/>
          <w:sz w:val="22"/>
          <w:szCs w:val="22"/>
        </w:rPr>
        <w:t xml:space="preserve"> interactive whiteboard.  </w:t>
      </w:r>
      <w:r w:rsidR="00455000">
        <w:rPr>
          <w:rFonts w:ascii="Arial" w:eastAsia="Arial" w:hAnsi="Arial" w:cs="Arial"/>
          <w:color w:val="000000"/>
          <w:sz w:val="22"/>
          <w:szCs w:val="22"/>
        </w:rPr>
        <w:t xml:space="preserve">All pupils in Years 7 to 11 bring Chromebooks to lessons.  </w:t>
      </w:r>
      <w:bookmarkStart w:id="0" w:name="_GoBack"/>
      <w:bookmarkEnd w:id="0"/>
      <w:r>
        <w:rPr>
          <w:rFonts w:ascii="Arial" w:eastAsia="Arial" w:hAnsi="Arial" w:cs="Arial"/>
          <w:color w:val="000000"/>
          <w:sz w:val="22"/>
          <w:szCs w:val="22"/>
        </w:rPr>
        <w:t xml:space="preserve">The department subscribes to a number of learning platforms along with teaching resource sites such as </w:t>
      </w:r>
      <w:proofErr w:type="spellStart"/>
      <w:r>
        <w:rPr>
          <w:rFonts w:ascii="Arial" w:eastAsia="Arial" w:hAnsi="Arial" w:cs="Arial"/>
          <w:color w:val="000000"/>
          <w:sz w:val="22"/>
          <w:szCs w:val="22"/>
        </w:rPr>
        <w:t>Maths</w:t>
      </w:r>
      <w:proofErr w:type="spellEnd"/>
      <w:r>
        <w:rPr>
          <w:rFonts w:ascii="Arial" w:eastAsia="Arial" w:hAnsi="Arial" w:cs="Arial"/>
          <w:color w:val="000000"/>
          <w:sz w:val="22"/>
          <w:szCs w:val="22"/>
        </w:rPr>
        <w:t xml:space="preserve"> Box.  </w:t>
      </w:r>
      <w:r>
        <w:rPr>
          <w:rFonts w:ascii="Arial" w:eastAsia="Arial" w:hAnsi="Arial" w:cs="Arial"/>
          <w:sz w:val="22"/>
          <w:szCs w:val="22"/>
        </w:rPr>
        <w:t>We are also well resourced with textbooks, manipulatives and other teaching aides.  We are a forward thinking department and always looking at ways to develop our practice and seek to make mathematics teaching as effective and engaging as possible.</w:t>
      </w:r>
    </w:p>
    <w:p w:rsidR="002C417E" w:rsidRDefault="002C417E">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2"/>
          <w:szCs w:val="22"/>
        </w:rPr>
      </w:pPr>
    </w:p>
    <w:p w:rsidR="002C417E" w:rsidRDefault="001C192E">
      <w:pPr>
        <w:pStyle w:val="Heading1"/>
        <w:ind w:left="0" w:hanging="2"/>
      </w:pPr>
      <w:r>
        <w:rPr>
          <w:b/>
        </w:rPr>
        <w:t>Key Stage 3</w:t>
      </w:r>
    </w:p>
    <w:p w:rsidR="002C417E" w:rsidRDefault="002C417E">
      <w:pPr>
        <w:ind w:left="0" w:hanging="2"/>
        <w:jc w:val="both"/>
        <w:rPr>
          <w:rFonts w:ascii="Arial" w:eastAsia="Arial" w:hAnsi="Arial" w:cs="Arial"/>
          <w:sz w:val="22"/>
          <w:szCs w:val="22"/>
        </w:rPr>
      </w:pPr>
    </w:p>
    <w:p w:rsidR="002C417E" w:rsidRDefault="001C192E">
      <w:pPr>
        <w:widowControl/>
        <w:pBdr>
          <w:top w:val="nil"/>
          <w:left w:val="nil"/>
          <w:bottom w:val="nil"/>
          <w:right w:val="nil"/>
          <w:between w:val="nil"/>
        </w:pBdr>
        <w:spacing w:line="240" w:lineRule="auto"/>
        <w:ind w:left="0" w:right="45" w:hanging="2"/>
        <w:jc w:val="both"/>
        <w:rPr>
          <w:rFonts w:ascii="Arial" w:eastAsia="Arial" w:hAnsi="Arial" w:cs="Arial"/>
          <w:color w:val="000000"/>
          <w:sz w:val="22"/>
          <w:szCs w:val="22"/>
        </w:rPr>
      </w:pPr>
      <w:r>
        <w:rPr>
          <w:rFonts w:ascii="Arial" w:eastAsia="Arial" w:hAnsi="Arial" w:cs="Arial"/>
          <w:color w:val="000000"/>
          <w:sz w:val="22"/>
          <w:szCs w:val="22"/>
        </w:rPr>
        <w:t xml:space="preserve">In Key Stage 3 pupils are taught in a mixture of mixed ability and streamed groups; these are decided during the autumn term of Year 7 and reviewed continually.  Pupils follow </w:t>
      </w:r>
      <w:r>
        <w:rPr>
          <w:rFonts w:ascii="Arial" w:eastAsia="Arial" w:hAnsi="Arial" w:cs="Arial"/>
          <w:sz w:val="22"/>
          <w:szCs w:val="22"/>
        </w:rPr>
        <w:t xml:space="preserve">the Pearson KS3 </w:t>
      </w:r>
      <w:r>
        <w:rPr>
          <w:rFonts w:ascii="Arial" w:eastAsia="Arial" w:hAnsi="Arial" w:cs="Arial"/>
          <w:color w:val="000000"/>
          <w:sz w:val="22"/>
          <w:szCs w:val="22"/>
        </w:rPr>
        <w:t xml:space="preserve">scheme of work </w:t>
      </w:r>
      <w:r>
        <w:rPr>
          <w:rFonts w:ascii="Arial" w:eastAsia="Arial" w:hAnsi="Arial" w:cs="Arial"/>
          <w:sz w:val="22"/>
          <w:szCs w:val="22"/>
        </w:rPr>
        <w:t>as this</w:t>
      </w:r>
      <w:r>
        <w:rPr>
          <w:rFonts w:ascii="Arial" w:eastAsia="Arial" w:hAnsi="Arial" w:cs="Arial"/>
          <w:color w:val="000000"/>
          <w:sz w:val="22"/>
          <w:szCs w:val="22"/>
        </w:rPr>
        <w:t xml:space="preserve"> is reviewed and adapted as required by our cohort.  </w:t>
      </w:r>
    </w:p>
    <w:p w:rsidR="002C417E" w:rsidRDefault="002C417E">
      <w:pPr>
        <w:widowControl/>
        <w:pBdr>
          <w:top w:val="nil"/>
          <w:left w:val="nil"/>
          <w:bottom w:val="nil"/>
          <w:right w:val="nil"/>
          <w:between w:val="nil"/>
        </w:pBdr>
        <w:spacing w:line="240" w:lineRule="auto"/>
        <w:ind w:left="0" w:right="45" w:hanging="2"/>
        <w:jc w:val="both"/>
        <w:rPr>
          <w:rFonts w:ascii="Arial" w:eastAsia="Arial" w:hAnsi="Arial" w:cs="Arial"/>
          <w:color w:val="000000"/>
          <w:sz w:val="22"/>
          <w:szCs w:val="22"/>
        </w:rPr>
      </w:pPr>
    </w:p>
    <w:p w:rsidR="002C417E" w:rsidRDefault="001C192E">
      <w:pPr>
        <w:widowControl/>
        <w:pBdr>
          <w:top w:val="nil"/>
          <w:left w:val="nil"/>
          <w:bottom w:val="nil"/>
          <w:right w:val="nil"/>
          <w:between w:val="nil"/>
        </w:pBdr>
        <w:spacing w:line="240" w:lineRule="auto"/>
        <w:ind w:left="0" w:right="45" w:hanging="2"/>
        <w:jc w:val="both"/>
        <w:rPr>
          <w:rFonts w:ascii="Arial" w:eastAsia="Arial" w:hAnsi="Arial" w:cs="Arial"/>
          <w:color w:val="000000"/>
          <w:sz w:val="22"/>
          <w:szCs w:val="22"/>
        </w:rPr>
      </w:pPr>
      <w:r>
        <w:rPr>
          <w:rFonts w:ascii="Arial" w:eastAsia="Arial" w:hAnsi="Arial" w:cs="Arial"/>
          <w:color w:val="000000"/>
          <w:sz w:val="22"/>
          <w:szCs w:val="22"/>
        </w:rPr>
        <w:t xml:space="preserve">Key Stage 3 pupils are assessed regularly after each unit and progress is monitored in line with the wider school policy.  </w:t>
      </w:r>
      <w:proofErr w:type="gramStart"/>
      <w:r>
        <w:rPr>
          <w:rFonts w:ascii="Arial" w:eastAsia="Arial" w:hAnsi="Arial" w:cs="Arial"/>
          <w:color w:val="000000"/>
          <w:sz w:val="22"/>
          <w:szCs w:val="22"/>
        </w:rPr>
        <w:t>Students</w:t>
      </w:r>
      <w:proofErr w:type="gramEnd"/>
      <w:r>
        <w:rPr>
          <w:rFonts w:ascii="Arial" w:eastAsia="Arial" w:hAnsi="Arial" w:cs="Arial"/>
          <w:color w:val="000000"/>
          <w:sz w:val="22"/>
          <w:szCs w:val="22"/>
        </w:rPr>
        <w:t xml:space="preserve"> complete homework on </w:t>
      </w:r>
      <w:proofErr w:type="spellStart"/>
      <w:r>
        <w:rPr>
          <w:rFonts w:ascii="Arial" w:eastAsia="Arial" w:hAnsi="Arial" w:cs="Arial"/>
          <w:color w:val="000000"/>
          <w:sz w:val="22"/>
          <w:szCs w:val="22"/>
        </w:rPr>
        <w:t>HegartyMaths</w:t>
      </w:r>
      <w:proofErr w:type="spellEnd"/>
      <w:r>
        <w:rPr>
          <w:rFonts w:ascii="Arial" w:eastAsia="Arial" w:hAnsi="Arial" w:cs="Arial"/>
          <w:color w:val="000000"/>
          <w:sz w:val="22"/>
          <w:szCs w:val="22"/>
        </w:rPr>
        <w:t xml:space="preserve"> and all students bring a Chromebook to lessons.</w:t>
      </w:r>
    </w:p>
    <w:p w:rsidR="002C417E" w:rsidRDefault="002C417E">
      <w:pPr>
        <w:widowControl/>
        <w:pBdr>
          <w:top w:val="nil"/>
          <w:left w:val="nil"/>
          <w:bottom w:val="nil"/>
          <w:right w:val="nil"/>
          <w:between w:val="nil"/>
        </w:pBdr>
        <w:spacing w:line="240" w:lineRule="auto"/>
        <w:ind w:left="0" w:right="205" w:hanging="2"/>
        <w:jc w:val="both"/>
        <w:rPr>
          <w:rFonts w:ascii="Arial" w:eastAsia="Arial" w:hAnsi="Arial" w:cs="Arial"/>
          <w:color w:val="000000"/>
          <w:sz w:val="22"/>
          <w:szCs w:val="22"/>
        </w:rPr>
      </w:pPr>
    </w:p>
    <w:p w:rsidR="002C417E" w:rsidRDefault="001C192E">
      <w:pPr>
        <w:pStyle w:val="Heading1"/>
        <w:ind w:left="0" w:hanging="2"/>
      </w:pPr>
      <w:r>
        <w:rPr>
          <w:b/>
        </w:rPr>
        <w:t>Key Stage 4</w:t>
      </w:r>
    </w:p>
    <w:p w:rsidR="002C417E" w:rsidRDefault="002C417E">
      <w:pPr>
        <w:ind w:left="0" w:hanging="2"/>
        <w:rPr>
          <w:rFonts w:ascii="Arial" w:eastAsia="Arial" w:hAnsi="Arial" w:cs="Arial"/>
          <w:sz w:val="22"/>
          <w:szCs w:val="22"/>
        </w:rPr>
      </w:pPr>
    </w:p>
    <w:p w:rsidR="002C417E" w:rsidRDefault="001C192E">
      <w:pPr>
        <w:widowControl/>
        <w:pBdr>
          <w:top w:val="nil"/>
          <w:left w:val="nil"/>
          <w:bottom w:val="nil"/>
          <w:right w:val="nil"/>
          <w:between w:val="nil"/>
        </w:pBdr>
        <w:tabs>
          <w:tab w:val="left" w:pos="8789"/>
        </w:tabs>
        <w:spacing w:line="240" w:lineRule="auto"/>
        <w:ind w:left="0" w:right="45" w:hanging="2"/>
        <w:jc w:val="both"/>
        <w:rPr>
          <w:rFonts w:ascii="Arial" w:eastAsia="Arial" w:hAnsi="Arial" w:cs="Arial"/>
          <w:color w:val="000000"/>
          <w:sz w:val="22"/>
          <w:szCs w:val="22"/>
        </w:rPr>
      </w:pPr>
      <w:r>
        <w:rPr>
          <w:rFonts w:ascii="Arial" w:eastAsia="Arial" w:hAnsi="Arial" w:cs="Arial"/>
          <w:color w:val="000000"/>
          <w:sz w:val="22"/>
          <w:szCs w:val="22"/>
        </w:rPr>
        <w:t xml:space="preserve">In 2019, 86% achieved a 9-4 and 30% achieved a 9-7.  Pupils are set at the beginning of Year 9 when we begin teaching the GCSE curriculum.  This setting is reviewed and refined throughout Year 10 and Year 11.  All pupils follow the </w:t>
      </w:r>
      <w:proofErr w:type="spellStart"/>
      <w:r>
        <w:rPr>
          <w:rFonts w:ascii="Arial" w:eastAsia="Arial" w:hAnsi="Arial" w:cs="Arial"/>
          <w:color w:val="000000"/>
          <w:sz w:val="22"/>
          <w:szCs w:val="22"/>
        </w:rPr>
        <w:t>Edexcel</w:t>
      </w:r>
      <w:proofErr w:type="spellEnd"/>
      <w:r>
        <w:rPr>
          <w:rFonts w:ascii="Arial" w:eastAsia="Arial" w:hAnsi="Arial" w:cs="Arial"/>
          <w:color w:val="000000"/>
          <w:sz w:val="22"/>
          <w:szCs w:val="22"/>
        </w:rPr>
        <w:t xml:space="preserve"> Linear syllabus at either higher or foundation tier.  </w:t>
      </w:r>
    </w:p>
    <w:p w:rsidR="002C417E" w:rsidRDefault="002C417E">
      <w:pPr>
        <w:widowControl/>
        <w:tabs>
          <w:tab w:val="left" w:pos="8789"/>
        </w:tabs>
        <w:ind w:left="0" w:right="45" w:hanging="2"/>
        <w:jc w:val="both"/>
        <w:rPr>
          <w:rFonts w:ascii="Arial" w:eastAsia="Arial" w:hAnsi="Arial" w:cs="Arial"/>
          <w:sz w:val="22"/>
          <w:szCs w:val="22"/>
        </w:rPr>
      </w:pPr>
    </w:p>
    <w:p w:rsidR="002C417E" w:rsidRDefault="001C192E">
      <w:pPr>
        <w:widowControl/>
        <w:tabs>
          <w:tab w:val="left" w:pos="8789"/>
        </w:tabs>
        <w:ind w:left="0" w:right="45" w:hanging="2"/>
        <w:jc w:val="both"/>
        <w:rPr>
          <w:rFonts w:ascii="Arial" w:eastAsia="Arial" w:hAnsi="Arial" w:cs="Arial"/>
          <w:sz w:val="22"/>
          <w:szCs w:val="22"/>
        </w:rPr>
      </w:pPr>
      <w:r>
        <w:rPr>
          <w:rFonts w:ascii="Arial" w:eastAsia="Arial" w:hAnsi="Arial" w:cs="Arial"/>
          <w:sz w:val="22"/>
          <w:szCs w:val="22"/>
        </w:rPr>
        <w:t xml:space="preserve">Top set students get the opportunity to sit extension qualifications, which have included both the </w:t>
      </w:r>
      <w:proofErr w:type="spellStart"/>
      <w:r>
        <w:rPr>
          <w:rFonts w:ascii="Arial" w:eastAsia="Arial" w:hAnsi="Arial" w:cs="Arial"/>
          <w:sz w:val="22"/>
          <w:szCs w:val="22"/>
        </w:rPr>
        <w:t>Edexcel</w:t>
      </w:r>
      <w:proofErr w:type="spellEnd"/>
      <w:r>
        <w:rPr>
          <w:rFonts w:ascii="Arial" w:eastAsia="Arial" w:hAnsi="Arial" w:cs="Arial"/>
          <w:sz w:val="22"/>
          <w:szCs w:val="22"/>
        </w:rPr>
        <w:t xml:space="preserve"> Level 3 Award in Algebra and AQA Certificate of Further Mathematics.  We also teach “</w:t>
      </w:r>
      <w:proofErr w:type="spellStart"/>
      <w:r>
        <w:rPr>
          <w:rFonts w:ascii="Arial" w:eastAsia="Arial" w:hAnsi="Arial" w:cs="Arial"/>
          <w:sz w:val="22"/>
          <w:szCs w:val="22"/>
        </w:rPr>
        <w:t>maths</w:t>
      </w:r>
      <w:proofErr w:type="spellEnd"/>
      <w:r>
        <w:rPr>
          <w:rFonts w:ascii="Arial" w:eastAsia="Arial" w:hAnsi="Arial" w:cs="Arial"/>
          <w:sz w:val="22"/>
          <w:szCs w:val="22"/>
        </w:rPr>
        <w:t xml:space="preserve"> for science” lessons to triple scientists and run intervention lessons for pupils who need extra support.  </w:t>
      </w:r>
    </w:p>
    <w:p w:rsidR="002C417E" w:rsidRDefault="002C417E">
      <w:pPr>
        <w:widowControl/>
        <w:tabs>
          <w:tab w:val="left" w:pos="8789"/>
        </w:tabs>
        <w:ind w:left="0" w:right="45" w:hanging="2"/>
        <w:jc w:val="both"/>
        <w:rPr>
          <w:rFonts w:ascii="Arial" w:eastAsia="Arial" w:hAnsi="Arial" w:cs="Arial"/>
          <w:sz w:val="22"/>
          <w:szCs w:val="22"/>
        </w:rPr>
      </w:pPr>
    </w:p>
    <w:p w:rsidR="002C417E" w:rsidRDefault="001C192E">
      <w:pPr>
        <w:widowControl/>
        <w:ind w:left="0" w:hanging="2"/>
        <w:jc w:val="both"/>
        <w:rPr>
          <w:rFonts w:ascii="Arial" w:eastAsia="Arial" w:hAnsi="Arial" w:cs="Arial"/>
          <w:sz w:val="22"/>
          <w:szCs w:val="22"/>
          <w:u w:val="single"/>
        </w:rPr>
      </w:pPr>
      <w:r>
        <w:rPr>
          <w:rFonts w:ascii="Arial" w:eastAsia="Arial" w:hAnsi="Arial" w:cs="Arial"/>
          <w:b/>
          <w:sz w:val="22"/>
          <w:szCs w:val="22"/>
          <w:u w:val="single"/>
        </w:rPr>
        <w:t>Key Stage 5</w:t>
      </w:r>
    </w:p>
    <w:p w:rsidR="002C417E" w:rsidRDefault="002C417E">
      <w:pPr>
        <w:widowControl/>
        <w:ind w:left="0" w:hanging="2"/>
        <w:jc w:val="both"/>
        <w:rPr>
          <w:rFonts w:ascii="Arial" w:eastAsia="Arial" w:hAnsi="Arial" w:cs="Arial"/>
          <w:sz w:val="22"/>
          <w:szCs w:val="22"/>
        </w:rPr>
      </w:pPr>
    </w:p>
    <w:p w:rsidR="002C417E" w:rsidRDefault="001C192E">
      <w:pPr>
        <w:widowControl/>
        <w:ind w:left="0" w:hanging="2"/>
        <w:jc w:val="both"/>
        <w:rPr>
          <w:rFonts w:ascii="Arial" w:eastAsia="Arial" w:hAnsi="Arial" w:cs="Arial"/>
          <w:sz w:val="22"/>
          <w:szCs w:val="22"/>
        </w:rPr>
      </w:pPr>
      <w:r>
        <w:rPr>
          <w:rFonts w:ascii="Arial" w:eastAsia="Arial" w:hAnsi="Arial" w:cs="Arial"/>
          <w:sz w:val="22"/>
          <w:szCs w:val="22"/>
        </w:rPr>
        <w:t xml:space="preserve">At A-level, Mathematics is a popular subject in the school with approximately 50 students choosing to study </w:t>
      </w:r>
      <w:proofErr w:type="spellStart"/>
      <w:r>
        <w:rPr>
          <w:rFonts w:ascii="Arial" w:eastAsia="Arial" w:hAnsi="Arial" w:cs="Arial"/>
          <w:sz w:val="22"/>
          <w:szCs w:val="22"/>
        </w:rPr>
        <w:t>Maths</w:t>
      </w:r>
      <w:proofErr w:type="spellEnd"/>
      <w:r>
        <w:rPr>
          <w:rFonts w:ascii="Arial" w:eastAsia="Arial" w:hAnsi="Arial" w:cs="Arial"/>
          <w:sz w:val="22"/>
          <w:szCs w:val="22"/>
        </w:rPr>
        <w:t xml:space="preserve"> each year.  In 2019, 57% of pupils achieved an A* or A grade at A-Level.  We currently follow the </w:t>
      </w:r>
      <w:proofErr w:type="spellStart"/>
      <w:r>
        <w:rPr>
          <w:rFonts w:ascii="Arial" w:eastAsia="Arial" w:hAnsi="Arial" w:cs="Arial"/>
          <w:sz w:val="22"/>
          <w:szCs w:val="22"/>
        </w:rPr>
        <w:t>Edexcel</w:t>
      </w:r>
      <w:proofErr w:type="spellEnd"/>
      <w:r>
        <w:rPr>
          <w:rFonts w:ascii="Arial" w:eastAsia="Arial" w:hAnsi="Arial" w:cs="Arial"/>
          <w:sz w:val="22"/>
          <w:szCs w:val="22"/>
        </w:rPr>
        <w:t xml:space="preserve"> A-Level Syllabus.  </w:t>
      </w:r>
    </w:p>
    <w:p w:rsidR="002C417E" w:rsidRDefault="002C417E">
      <w:pPr>
        <w:widowControl/>
        <w:ind w:left="0" w:hanging="2"/>
        <w:jc w:val="both"/>
        <w:rPr>
          <w:rFonts w:ascii="Arial" w:eastAsia="Arial" w:hAnsi="Arial" w:cs="Arial"/>
          <w:sz w:val="22"/>
          <w:szCs w:val="22"/>
        </w:rPr>
      </w:pPr>
    </w:p>
    <w:p w:rsidR="002C417E" w:rsidRDefault="001C192E">
      <w:pPr>
        <w:widowControl/>
        <w:ind w:left="0" w:hanging="2"/>
        <w:jc w:val="both"/>
        <w:rPr>
          <w:rFonts w:ascii="Arial" w:eastAsia="Arial" w:hAnsi="Arial" w:cs="Arial"/>
          <w:sz w:val="22"/>
          <w:szCs w:val="22"/>
        </w:rPr>
      </w:pPr>
      <w:r>
        <w:rPr>
          <w:rFonts w:ascii="Arial" w:eastAsia="Arial" w:hAnsi="Arial" w:cs="Arial"/>
          <w:sz w:val="22"/>
          <w:szCs w:val="22"/>
        </w:rPr>
        <w:t>Further Mathematics is also taught to an increasing number of students in Year 12 and 13. Students frequently choose to take Mathematics or Mathematics related subjects at university.</w:t>
      </w:r>
    </w:p>
    <w:p w:rsidR="002C417E" w:rsidRDefault="002C417E">
      <w:pPr>
        <w:widowControl/>
        <w:ind w:left="0" w:right="205" w:hanging="2"/>
        <w:jc w:val="both"/>
        <w:rPr>
          <w:rFonts w:ascii="Arial" w:eastAsia="Arial" w:hAnsi="Arial" w:cs="Arial"/>
          <w:sz w:val="22"/>
          <w:szCs w:val="22"/>
          <w:u w:val="single"/>
        </w:rPr>
      </w:pPr>
    </w:p>
    <w:p w:rsidR="002C417E" w:rsidRDefault="002C417E">
      <w:pPr>
        <w:widowControl/>
        <w:ind w:left="0" w:right="205" w:hanging="2"/>
        <w:jc w:val="both"/>
        <w:rPr>
          <w:rFonts w:ascii="Arial" w:eastAsia="Arial" w:hAnsi="Arial" w:cs="Arial"/>
          <w:sz w:val="22"/>
          <w:szCs w:val="22"/>
          <w:u w:val="single"/>
        </w:rPr>
      </w:pPr>
    </w:p>
    <w:p w:rsidR="002C417E" w:rsidRDefault="002C417E">
      <w:pPr>
        <w:widowControl/>
        <w:ind w:left="0" w:right="205" w:hanging="2"/>
        <w:jc w:val="both"/>
        <w:rPr>
          <w:rFonts w:ascii="Arial" w:eastAsia="Arial" w:hAnsi="Arial" w:cs="Arial"/>
          <w:sz w:val="22"/>
          <w:szCs w:val="22"/>
          <w:u w:val="single"/>
        </w:rPr>
      </w:pPr>
    </w:p>
    <w:p w:rsidR="002C417E" w:rsidRDefault="002C417E">
      <w:pPr>
        <w:widowControl/>
        <w:ind w:left="0" w:right="205" w:hanging="2"/>
        <w:jc w:val="both"/>
        <w:rPr>
          <w:rFonts w:ascii="Arial" w:eastAsia="Arial" w:hAnsi="Arial" w:cs="Arial"/>
          <w:sz w:val="22"/>
          <w:szCs w:val="22"/>
          <w:u w:val="single"/>
        </w:rPr>
      </w:pPr>
    </w:p>
    <w:p w:rsidR="002C417E" w:rsidRDefault="001C192E">
      <w:pPr>
        <w:widowControl/>
        <w:ind w:left="0" w:right="205" w:hanging="2"/>
        <w:jc w:val="both"/>
        <w:rPr>
          <w:rFonts w:ascii="Arial" w:eastAsia="Arial" w:hAnsi="Arial" w:cs="Arial"/>
          <w:sz w:val="22"/>
          <w:szCs w:val="22"/>
          <w:u w:val="single"/>
        </w:rPr>
      </w:pPr>
      <w:r>
        <w:rPr>
          <w:rFonts w:ascii="Arial" w:eastAsia="Arial" w:hAnsi="Arial" w:cs="Arial"/>
          <w:b/>
          <w:sz w:val="22"/>
          <w:szCs w:val="22"/>
          <w:u w:val="single"/>
        </w:rPr>
        <w:lastRenderedPageBreak/>
        <w:t>Extra-curricular Activities</w:t>
      </w:r>
    </w:p>
    <w:p w:rsidR="002C417E" w:rsidRDefault="002C417E">
      <w:pPr>
        <w:widowControl/>
        <w:ind w:left="0" w:right="205" w:hanging="2"/>
        <w:jc w:val="both"/>
        <w:rPr>
          <w:rFonts w:ascii="Arial" w:eastAsia="Arial" w:hAnsi="Arial" w:cs="Arial"/>
          <w:sz w:val="22"/>
          <w:szCs w:val="22"/>
        </w:rPr>
      </w:pPr>
    </w:p>
    <w:p w:rsidR="002C417E" w:rsidRDefault="001C192E">
      <w:pPr>
        <w:widowControl/>
        <w:ind w:left="0" w:hanging="2"/>
        <w:jc w:val="both"/>
        <w:rPr>
          <w:rFonts w:ascii="Arial" w:eastAsia="Arial" w:hAnsi="Arial" w:cs="Arial"/>
          <w:sz w:val="22"/>
          <w:szCs w:val="22"/>
        </w:rPr>
      </w:pPr>
      <w:r>
        <w:rPr>
          <w:rFonts w:ascii="Arial" w:eastAsia="Arial" w:hAnsi="Arial" w:cs="Arial"/>
          <w:sz w:val="22"/>
          <w:szCs w:val="22"/>
        </w:rPr>
        <w:t xml:space="preserve">Each year, we enter the more-able pupils for the UK Mathematics Challenges and team challenges.  Pupils from the school regularly obtain Gold, Silver or Bronze Certificates and in recent years, pupils from the school have been invited to perform in Invitational Mathematics Challenges as a result of their high performance.  Pupils have also participated in the Hertfordshire </w:t>
      </w:r>
      <w:proofErr w:type="spellStart"/>
      <w:r>
        <w:rPr>
          <w:rFonts w:ascii="Arial" w:eastAsia="Arial" w:hAnsi="Arial" w:cs="Arial"/>
          <w:sz w:val="22"/>
          <w:szCs w:val="22"/>
        </w:rPr>
        <w:t>Maths</w:t>
      </w:r>
      <w:proofErr w:type="spellEnd"/>
      <w:r>
        <w:rPr>
          <w:rFonts w:ascii="Arial" w:eastAsia="Arial" w:hAnsi="Arial" w:cs="Arial"/>
          <w:sz w:val="22"/>
          <w:szCs w:val="22"/>
        </w:rPr>
        <w:t xml:space="preserve"> Masterclasses and a group has taken part in the UKMT Regional Team Challenge, with our Year 7 team winning the regional event in 2020.</w:t>
      </w:r>
    </w:p>
    <w:p w:rsidR="002C417E" w:rsidRDefault="002C417E">
      <w:pPr>
        <w:widowControl/>
        <w:ind w:left="0" w:hanging="2"/>
        <w:jc w:val="both"/>
        <w:rPr>
          <w:rFonts w:ascii="Arial" w:eastAsia="Arial" w:hAnsi="Arial" w:cs="Arial"/>
          <w:sz w:val="22"/>
          <w:szCs w:val="22"/>
        </w:rPr>
      </w:pPr>
    </w:p>
    <w:p w:rsidR="002C417E" w:rsidRDefault="001C192E">
      <w:pPr>
        <w:widowControl/>
        <w:ind w:left="0" w:right="205" w:hanging="2"/>
        <w:jc w:val="both"/>
        <w:rPr>
          <w:rFonts w:ascii="Arial" w:eastAsia="Arial" w:hAnsi="Arial" w:cs="Arial"/>
          <w:sz w:val="22"/>
          <w:szCs w:val="22"/>
          <w:u w:val="single"/>
        </w:rPr>
      </w:pPr>
      <w:r>
        <w:rPr>
          <w:rFonts w:ascii="Arial" w:eastAsia="Arial" w:hAnsi="Arial" w:cs="Arial"/>
          <w:b/>
          <w:sz w:val="22"/>
          <w:szCs w:val="22"/>
          <w:u w:val="single"/>
        </w:rPr>
        <w:t>Induction, Support &amp; Continuing Development</w:t>
      </w:r>
    </w:p>
    <w:p w:rsidR="002C417E" w:rsidRDefault="002C417E">
      <w:pPr>
        <w:widowControl/>
        <w:ind w:left="0" w:right="205" w:hanging="2"/>
        <w:jc w:val="both"/>
        <w:rPr>
          <w:rFonts w:ascii="Arial" w:eastAsia="Arial" w:hAnsi="Arial" w:cs="Arial"/>
          <w:sz w:val="22"/>
          <w:szCs w:val="22"/>
          <w:u w:val="single"/>
        </w:rPr>
      </w:pPr>
    </w:p>
    <w:p w:rsidR="002C417E" w:rsidRDefault="001C192E">
      <w:pPr>
        <w:widowControl/>
        <w:ind w:left="0" w:hanging="2"/>
        <w:jc w:val="both"/>
        <w:rPr>
          <w:rFonts w:ascii="Arial" w:eastAsia="Arial" w:hAnsi="Arial" w:cs="Arial"/>
          <w:sz w:val="22"/>
          <w:szCs w:val="22"/>
        </w:rPr>
      </w:pPr>
      <w:r>
        <w:rPr>
          <w:rFonts w:ascii="Arial" w:eastAsia="Arial" w:hAnsi="Arial" w:cs="Arial"/>
          <w:sz w:val="22"/>
          <w:szCs w:val="22"/>
        </w:rPr>
        <w:t xml:space="preserve">The school offers a full and effective induction and support </w:t>
      </w:r>
      <w:proofErr w:type="spellStart"/>
      <w:r>
        <w:rPr>
          <w:rFonts w:ascii="Arial" w:eastAsia="Arial" w:hAnsi="Arial" w:cs="Arial"/>
          <w:sz w:val="22"/>
          <w:szCs w:val="22"/>
        </w:rPr>
        <w:t>programme</w:t>
      </w:r>
      <w:proofErr w:type="spellEnd"/>
      <w:r>
        <w:rPr>
          <w:rFonts w:ascii="Arial" w:eastAsia="Arial" w:hAnsi="Arial" w:cs="Arial"/>
          <w:sz w:val="22"/>
          <w:szCs w:val="22"/>
        </w:rPr>
        <w:t xml:space="preserve"> to new and experienced teachers.  We have a history of supporting NQTs through their induction period and many of these colleagues have gone on to hold responsibility positions in a short period of time.  A-Level teaching support is available </w:t>
      </w:r>
      <w:proofErr w:type="spellStart"/>
      <w:r>
        <w:rPr>
          <w:rFonts w:ascii="Arial" w:eastAsia="Arial" w:hAnsi="Arial" w:cs="Arial"/>
          <w:sz w:val="22"/>
          <w:szCs w:val="22"/>
        </w:rPr>
        <w:t>though</w:t>
      </w:r>
      <w:proofErr w:type="spellEnd"/>
      <w:r>
        <w:rPr>
          <w:rFonts w:ascii="Arial" w:eastAsia="Arial" w:hAnsi="Arial" w:cs="Arial"/>
          <w:sz w:val="22"/>
          <w:szCs w:val="22"/>
        </w:rPr>
        <w:t xml:space="preserve"> the Advanced Mathematics Support </w:t>
      </w:r>
      <w:proofErr w:type="spellStart"/>
      <w:r>
        <w:rPr>
          <w:rFonts w:ascii="Arial" w:eastAsia="Arial" w:hAnsi="Arial" w:cs="Arial"/>
          <w:sz w:val="22"/>
          <w:szCs w:val="22"/>
        </w:rPr>
        <w:t>Programme</w:t>
      </w:r>
      <w:proofErr w:type="spellEnd"/>
      <w:r>
        <w:rPr>
          <w:rFonts w:ascii="Arial" w:eastAsia="Arial" w:hAnsi="Arial" w:cs="Arial"/>
          <w:sz w:val="22"/>
          <w:szCs w:val="22"/>
        </w:rPr>
        <w:t xml:space="preserve"> with teachers recently taking the Teaching Advanced Mathematics course to support their subject knowledge and pedagogy at A-Level.</w:t>
      </w:r>
    </w:p>
    <w:p w:rsidR="002C417E" w:rsidRDefault="002C417E">
      <w:pPr>
        <w:widowControl/>
        <w:ind w:left="0" w:hanging="2"/>
        <w:jc w:val="both"/>
        <w:rPr>
          <w:rFonts w:ascii="Arial" w:eastAsia="Arial" w:hAnsi="Arial" w:cs="Arial"/>
          <w:sz w:val="22"/>
          <w:szCs w:val="22"/>
        </w:rPr>
      </w:pPr>
    </w:p>
    <w:p w:rsidR="002C417E" w:rsidRDefault="001C192E">
      <w:pPr>
        <w:widowControl/>
        <w:ind w:left="0" w:hanging="2"/>
        <w:jc w:val="both"/>
        <w:rPr>
          <w:rFonts w:ascii="Arial" w:eastAsia="Arial" w:hAnsi="Arial" w:cs="Arial"/>
          <w:sz w:val="22"/>
          <w:szCs w:val="22"/>
        </w:rPr>
      </w:pPr>
      <w:r>
        <w:rPr>
          <w:rFonts w:ascii="Arial" w:eastAsia="Arial" w:hAnsi="Arial" w:cs="Arial"/>
          <w:sz w:val="22"/>
          <w:szCs w:val="22"/>
        </w:rPr>
        <w:t xml:space="preserve">Mathematics teachers are frequent attendees at the school’s teaching and learning group.  Many teachers within the department have completed Teacher Led Development Work portfolios and several have studied for masters qualifications in mathematics or wider educational areas.  </w:t>
      </w:r>
    </w:p>
    <w:p w:rsidR="002C417E" w:rsidRDefault="002C417E">
      <w:pPr>
        <w:widowControl/>
        <w:ind w:left="0" w:hanging="2"/>
        <w:jc w:val="both"/>
        <w:rPr>
          <w:rFonts w:ascii="Arial" w:eastAsia="Arial" w:hAnsi="Arial" w:cs="Arial"/>
          <w:sz w:val="22"/>
          <w:szCs w:val="22"/>
        </w:rPr>
      </w:pPr>
    </w:p>
    <w:p w:rsidR="002C417E" w:rsidRDefault="001C192E">
      <w:pPr>
        <w:widowControl/>
        <w:ind w:left="0" w:hanging="2"/>
        <w:jc w:val="both"/>
        <w:rPr>
          <w:rFonts w:ascii="Arial" w:eastAsia="Arial" w:hAnsi="Arial" w:cs="Arial"/>
          <w:sz w:val="22"/>
          <w:szCs w:val="22"/>
        </w:rPr>
      </w:pPr>
      <w:r>
        <w:rPr>
          <w:rFonts w:ascii="Arial" w:eastAsia="Arial" w:hAnsi="Arial" w:cs="Arial"/>
          <w:sz w:val="22"/>
          <w:szCs w:val="22"/>
        </w:rPr>
        <w:t xml:space="preserve">Leadership within the department is distributed and all colleagues have opportunities to attend development courses, networking events and disseminate this information back to the rest of the team through department meetings.   </w:t>
      </w:r>
    </w:p>
    <w:p w:rsidR="002C417E" w:rsidRDefault="002C417E">
      <w:pPr>
        <w:widowControl/>
        <w:ind w:left="0" w:hanging="2"/>
        <w:jc w:val="both"/>
        <w:rPr>
          <w:rFonts w:ascii="Arial" w:eastAsia="Arial" w:hAnsi="Arial" w:cs="Arial"/>
          <w:sz w:val="22"/>
          <w:szCs w:val="22"/>
        </w:rPr>
      </w:pPr>
    </w:p>
    <w:p w:rsidR="002C417E" w:rsidRDefault="001C192E">
      <w:pPr>
        <w:widowControl/>
        <w:ind w:left="0" w:hanging="2"/>
        <w:jc w:val="both"/>
        <w:rPr>
          <w:rFonts w:ascii="Arial" w:eastAsia="Arial" w:hAnsi="Arial" w:cs="Arial"/>
          <w:sz w:val="22"/>
          <w:szCs w:val="22"/>
          <w:u w:val="single"/>
        </w:rPr>
      </w:pPr>
      <w:r>
        <w:rPr>
          <w:rFonts w:ascii="Arial" w:eastAsia="Arial" w:hAnsi="Arial" w:cs="Arial"/>
          <w:b/>
          <w:sz w:val="22"/>
          <w:szCs w:val="22"/>
          <w:u w:val="single"/>
        </w:rPr>
        <w:t>Letter of Application</w:t>
      </w:r>
    </w:p>
    <w:p w:rsidR="002C417E" w:rsidRDefault="002C417E">
      <w:pPr>
        <w:widowControl/>
        <w:ind w:left="0" w:hanging="2"/>
        <w:jc w:val="both"/>
        <w:rPr>
          <w:rFonts w:ascii="Arial" w:eastAsia="Arial" w:hAnsi="Arial" w:cs="Arial"/>
          <w:sz w:val="22"/>
          <w:szCs w:val="22"/>
          <w:u w:val="single"/>
        </w:rPr>
      </w:pPr>
    </w:p>
    <w:p w:rsidR="002C417E" w:rsidRDefault="001C192E">
      <w:pPr>
        <w:ind w:left="0" w:hanging="2"/>
        <w:jc w:val="both"/>
        <w:rPr>
          <w:rFonts w:ascii="Arial" w:eastAsia="Arial" w:hAnsi="Arial" w:cs="Arial"/>
          <w:sz w:val="22"/>
          <w:szCs w:val="22"/>
        </w:rPr>
      </w:pPr>
      <w:r>
        <w:rPr>
          <w:rFonts w:ascii="Arial" w:eastAsia="Arial" w:hAnsi="Arial" w:cs="Arial"/>
          <w:sz w:val="22"/>
          <w:szCs w:val="22"/>
        </w:rPr>
        <w:t>In their letter of application, which should not exceed two sides of A4, candidates should, amongst other points, describe their approach to the teaching of Mathematics.</w:t>
      </w:r>
    </w:p>
    <w:p w:rsidR="002C417E" w:rsidRDefault="002C417E">
      <w:pPr>
        <w:ind w:left="0" w:hanging="2"/>
        <w:jc w:val="both"/>
        <w:rPr>
          <w:rFonts w:ascii="Arial" w:eastAsia="Arial" w:hAnsi="Arial" w:cs="Arial"/>
          <w:sz w:val="22"/>
          <w:szCs w:val="22"/>
        </w:rPr>
      </w:pPr>
    </w:p>
    <w:p w:rsidR="002C417E" w:rsidRDefault="001C192E">
      <w:pPr>
        <w:ind w:left="0" w:hanging="2"/>
        <w:jc w:val="both"/>
        <w:rPr>
          <w:rFonts w:ascii="Arial" w:eastAsia="Arial" w:hAnsi="Arial" w:cs="Arial"/>
          <w:sz w:val="22"/>
          <w:szCs w:val="22"/>
        </w:rPr>
      </w:pPr>
      <w:r>
        <w:rPr>
          <w:rFonts w:ascii="Arial" w:eastAsia="Arial" w:hAnsi="Arial" w:cs="Arial"/>
          <w:sz w:val="22"/>
          <w:szCs w:val="22"/>
        </w:rPr>
        <w:t xml:space="preserve">We are a forward-thinking and outward-looking department and welcome all applications from current or trainee mathematics teachers who are committed to help pupils better understand our wonderful subject.  </w:t>
      </w:r>
    </w:p>
    <w:p w:rsidR="002C417E" w:rsidRDefault="002C417E">
      <w:pPr>
        <w:widowControl/>
        <w:ind w:left="0" w:hanging="2"/>
        <w:jc w:val="both"/>
        <w:rPr>
          <w:rFonts w:ascii="Arial" w:eastAsia="Arial" w:hAnsi="Arial" w:cs="Arial"/>
          <w:sz w:val="22"/>
          <w:szCs w:val="22"/>
          <w:u w:val="single"/>
        </w:rPr>
      </w:pPr>
    </w:p>
    <w:p w:rsidR="002C417E" w:rsidRDefault="002C417E">
      <w:pPr>
        <w:widowControl/>
        <w:ind w:left="0" w:hanging="2"/>
        <w:jc w:val="both"/>
        <w:rPr>
          <w:rFonts w:ascii="Arial" w:eastAsia="Arial" w:hAnsi="Arial" w:cs="Arial"/>
          <w:sz w:val="22"/>
          <w:szCs w:val="22"/>
          <w:u w:val="single"/>
        </w:rPr>
      </w:pPr>
    </w:p>
    <w:p w:rsidR="002C417E" w:rsidRDefault="002C417E">
      <w:pPr>
        <w:widowControl/>
        <w:ind w:left="0" w:hanging="2"/>
        <w:jc w:val="both"/>
        <w:rPr>
          <w:rFonts w:ascii="Arial" w:eastAsia="Arial" w:hAnsi="Arial" w:cs="Arial"/>
          <w:color w:val="FF0000"/>
          <w:sz w:val="22"/>
          <w:szCs w:val="22"/>
          <w:u w:val="single"/>
        </w:rPr>
      </w:pPr>
    </w:p>
    <w:sectPr w:rsidR="002C417E">
      <w:headerReference w:type="even" r:id="rId9"/>
      <w:headerReference w:type="default" r:id="rId10"/>
      <w:footerReference w:type="even" r:id="rId11"/>
      <w:footerReference w:type="default" r:id="rId12"/>
      <w:headerReference w:type="first" r:id="rId13"/>
      <w:footerReference w:type="first" r:id="rId14"/>
      <w:pgSz w:w="11911" w:h="16832"/>
      <w:pgMar w:top="851" w:right="1421" w:bottom="1224" w:left="1656"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9FC" w:rsidRDefault="001C192E">
      <w:pPr>
        <w:spacing w:line="240" w:lineRule="auto"/>
        <w:ind w:left="0" w:hanging="2"/>
      </w:pPr>
      <w:r>
        <w:separator/>
      </w:r>
    </w:p>
  </w:endnote>
  <w:endnote w:type="continuationSeparator" w:id="0">
    <w:p w:rsidR="002459FC" w:rsidRDefault="001C19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man P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00" w:rsidRDefault="0045500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7E" w:rsidRPr="00455000" w:rsidRDefault="00455000" w:rsidP="00455000">
    <w:pPr>
      <w:pStyle w:val="Footer"/>
      <w:ind w:left="0" w:hanging="2"/>
    </w:pPr>
    <w:r>
      <w:t>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00" w:rsidRDefault="0045500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9FC" w:rsidRDefault="001C192E">
      <w:pPr>
        <w:spacing w:line="240" w:lineRule="auto"/>
        <w:ind w:left="0" w:hanging="2"/>
      </w:pPr>
      <w:r>
        <w:separator/>
      </w:r>
    </w:p>
  </w:footnote>
  <w:footnote w:type="continuationSeparator" w:id="0">
    <w:p w:rsidR="002459FC" w:rsidRDefault="001C192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00" w:rsidRDefault="0045500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00" w:rsidRDefault="0045500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000" w:rsidRDefault="0045500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7E"/>
    <w:rsid w:val="001C192E"/>
    <w:rsid w:val="002459FC"/>
    <w:rsid w:val="002C417E"/>
    <w:rsid w:val="00455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50C"/>
  <w15:docId w15:val="{E1F144C8-6CE4-434D-AE54-6802EE4F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Roman PS" w:hAnsi="Roman PS" w:cs="Roman PS"/>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position w:val="-1"/>
      <w:lang w:eastAsia="en-US"/>
    </w:rPr>
  </w:style>
  <w:style w:type="paragraph" w:styleId="Heading1">
    <w:name w:val="heading 1"/>
    <w:basedOn w:val="Normal"/>
    <w:next w:val="Normal"/>
    <w:pPr>
      <w:keepNext/>
      <w:widowControl/>
      <w:ind w:right="205"/>
      <w:jc w:val="both"/>
    </w:pPr>
    <w:rPr>
      <w:rFonts w:ascii="Arial" w:hAnsi="Arial"/>
      <w:sz w:val="22"/>
      <w:u w:val="single"/>
    </w:rPr>
  </w:style>
  <w:style w:type="paragraph" w:styleId="Heading2">
    <w:name w:val="heading 2"/>
    <w:basedOn w:val="Normal"/>
    <w:next w:val="Normal"/>
    <w:pPr>
      <w:keepNext/>
      <w:widowControl/>
      <w:jc w:val="both"/>
      <w:outlineLvl w:val="1"/>
    </w:pPr>
    <w:rPr>
      <w:rFonts w:ascii="Arial" w:hAnsi="Arial"/>
      <w:b/>
      <w:sz w:val="22"/>
      <w:u w:val="single"/>
    </w:rPr>
  </w:style>
  <w:style w:type="paragraph" w:styleId="Heading3">
    <w:name w:val="heading 3"/>
    <w:basedOn w:val="Normal"/>
    <w:next w:val="Normal"/>
    <w:pPr>
      <w:keepNext/>
      <w:outlineLvl w:val="2"/>
    </w:pPr>
    <w:rPr>
      <w:rFonts w:ascii="Arial" w:hAnsi="Arial"/>
      <w:sz w:val="22"/>
      <w:u w:val="single"/>
    </w:rPr>
  </w:style>
  <w:style w:type="paragraph" w:styleId="Heading4">
    <w:name w:val="heading 4"/>
    <w:basedOn w:val="Normal"/>
    <w:next w:val="Normal"/>
    <w:pPr>
      <w:keepNext/>
      <w:widowControl/>
      <w:ind w:right="205"/>
      <w:jc w:val="both"/>
      <w:outlineLvl w:val="3"/>
    </w:pPr>
    <w:rPr>
      <w:rFonts w:ascii="Arial" w:hAnsi="Arial"/>
      <w:b/>
      <w:sz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jc w:val="both"/>
    </w:pPr>
    <w:rPr>
      <w:rFonts w:ascii="Arial" w:hAnsi="Arial"/>
      <w:sz w:val="22"/>
    </w:rPr>
  </w:style>
  <w:style w:type="paragraph" w:customStyle="1" w:styleId="DefaultText">
    <w:name w:val="Default Text"/>
    <w:basedOn w:val="Normal"/>
    <w:rPr>
      <w:sz w:val="24"/>
    </w:rPr>
  </w:style>
  <w:style w:type="paragraph" w:styleId="BodyText2">
    <w:name w:val="Body Text 2"/>
    <w:basedOn w:val="Normal"/>
    <w:pPr>
      <w:widowControl/>
      <w:ind w:right="115"/>
      <w:jc w:val="center"/>
    </w:pPr>
    <w:rPr>
      <w:rFonts w:ascii="Arial" w:hAnsi="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widowControl/>
      <w:ind w:right="205"/>
      <w:jc w:val="both"/>
    </w:pPr>
    <w:rPr>
      <w:rFonts w:ascii="Arial" w:hAnsi="Arial"/>
      <w:sz w:val="22"/>
    </w:rPr>
  </w:style>
  <w:style w:type="paragraph" w:styleId="BalloonText">
    <w:name w:val="Balloon Text"/>
    <w:basedOn w:val="Normal"/>
    <w:rPr>
      <w:rFonts w:ascii="Tahoma" w:hAnsi="Tahoma" w:cs="Tahoma"/>
      <w:sz w:val="16"/>
      <w:szCs w:val="16"/>
    </w:rPr>
  </w:style>
  <w:style w:type="paragraph" w:styleId="PlainText">
    <w:name w:val="Plain Text"/>
    <w:basedOn w:val="Normal"/>
    <w:pPr>
      <w:widowControl/>
    </w:pPr>
    <w:rPr>
      <w:rFonts w:ascii="Courier New" w:hAnsi="Courier New" w:cs="Courier New"/>
      <w:snapToGrid/>
      <w:lang w:val="en-GB"/>
    </w:rPr>
  </w:style>
  <w:style w:type="paragraph" w:styleId="Revision">
    <w:name w:val="Revision"/>
    <w:pPr>
      <w:suppressAutoHyphens/>
      <w:spacing w:line="1" w:lineRule="atLeast"/>
      <w:ind w:leftChars="-1" w:left="-1" w:hangingChars="1" w:hanging="1"/>
      <w:textDirection w:val="btLr"/>
      <w:textAlignment w:val="top"/>
      <w:outlineLvl w:val="0"/>
    </w:pPr>
    <w:rPr>
      <w:snapToGrid w:val="0"/>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4naD4omoCaZasOL3WakHRSOYzA==">AMUW2mU2YQCFjfxRMuwJAaYwVJTBRvEq7p7VtO16JFSWSE7OXt0EE6Wm+tXDLdrIceEBwPG8hLl+HtG8oVdLCajsArQHaIN/c5j0th9DWHoTmjyVKtcUVc8=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Broxbourne</dc:creator>
  <cp:lastModifiedBy>CJ</cp:lastModifiedBy>
  <cp:revision>3</cp:revision>
  <dcterms:created xsi:type="dcterms:W3CDTF">2021-03-22T09:02:00Z</dcterms:created>
  <dcterms:modified xsi:type="dcterms:W3CDTF">2021-09-23T15:50:00Z</dcterms:modified>
</cp:coreProperties>
</file>