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9D6154">
      <w:pPr>
        <w:rPr>
          <w:rFonts w:ascii="Calibri" w:hAnsi="Calibri" w:cs="Calibri"/>
          <w:b/>
          <w:sz w:val="22"/>
          <w:szCs w:val="22"/>
          <w:u w:val="single"/>
        </w:rPr>
      </w:pPr>
      <w:bookmarkStart w:id="0" w:name="_GoBack"/>
      <w:bookmarkEnd w:id="0"/>
      <w:r>
        <w:rPr>
          <w:rFonts w:ascii="Century Gothic" w:hAnsi="Century Gothic"/>
          <w:noProof/>
        </w:rPr>
        <w:drawing>
          <wp:anchor distT="0" distB="0" distL="114300" distR="114300" simplePos="0" relativeHeight="251659776" behindDoc="0" locked="0" layoutInCell="1" allowOverlap="1" wp14:anchorId="72870371" wp14:editId="409C06DA">
            <wp:simplePos x="0" y="0"/>
            <wp:positionH relativeFrom="column">
              <wp:posOffset>4592955</wp:posOffset>
            </wp:positionH>
            <wp:positionV relativeFrom="page">
              <wp:posOffset>276225</wp:posOffset>
            </wp:positionV>
            <wp:extent cx="1628775" cy="781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4CB"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FD52D4">
            <w:pPr>
              <w:rPr>
                <w:rFonts w:ascii="Calibri" w:hAnsi="Calibri" w:cs="Calibri"/>
                <w:sz w:val="22"/>
                <w:szCs w:val="22"/>
              </w:rPr>
            </w:pPr>
            <w:r>
              <w:rPr>
                <w:rFonts w:ascii="Calibri" w:hAnsi="Calibri" w:cs="Calibri"/>
                <w:sz w:val="22"/>
                <w:szCs w:val="22"/>
              </w:rPr>
              <w:t>Teaching Team Leader</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1"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1"/>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9"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10"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Assessing, recording and reporting on students ‘readiness to learn’, attainment and next step comments as directed by </w:t>
      </w:r>
      <w:r w:rsidR="00FD52D4">
        <w:rPr>
          <w:rFonts w:ascii="Calibri" w:hAnsi="Calibri" w:cs="Calibri"/>
          <w:spacing w:val="-3"/>
          <w:sz w:val="22"/>
          <w:szCs w:val="22"/>
        </w:rPr>
        <w:t>the Leadership Team</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 xml:space="preserve">Be responsible for the preparation and development of teaching materials, teaching programmes and </w:t>
      </w:r>
      <w:r w:rsidR="00FD52D4">
        <w:rPr>
          <w:rFonts w:ascii="Calibri" w:hAnsi="Calibri" w:cs="Calibri"/>
          <w:bCs/>
          <w:sz w:val="22"/>
          <w:szCs w:val="22"/>
        </w:rPr>
        <w:t>student support</w:t>
      </w:r>
      <w:r w:rsidRPr="00B16318">
        <w:rPr>
          <w:rFonts w:ascii="Calibri" w:hAnsi="Calibri" w:cs="Calibri"/>
          <w:bCs/>
          <w:sz w:val="22"/>
          <w:szCs w:val="22"/>
        </w:rPr>
        <w:t xml:space="preserve">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 xml:space="preserve">aculty’s extra-curricular programme as advised by </w:t>
      </w:r>
      <w:r w:rsidR="00FD52D4">
        <w:rPr>
          <w:rFonts w:asciiTheme="minorHAnsi" w:hAnsiTheme="minorHAnsi" w:cs="Calibri"/>
          <w:spacing w:val="-3"/>
          <w:sz w:val="22"/>
          <w:szCs w:val="22"/>
        </w:rPr>
        <w:t>TTL</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Attend all calendared meetings and professional development opportunities as directed by </w:t>
      </w:r>
      <w:r w:rsidR="00FD52D4">
        <w:rPr>
          <w:rFonts w:asciiTheme="minorHAnsi" w:hAnsiTheme="minorHAnsi" w:cs="Calibri"/>
          <w:spacing w:val="-3"/>
          <w:sz w:val="22"/>
          <w:szCs w:val="22"/>
        </w:rPr>
        <w:t>the Leadership Team or TTL</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Provide guidance and advice to students on educational and social matters, including information on further education </w:t>
      </w:r>
      <w:r w:rsidRPr="00B16318">
        <w:rPr>
          <w:rFonts w:asciiTheme="minorHAnsi" w:hAnsiTheme="minorHAnsi" w:cs="Calibri"/>
          <w:spacing w:val="-3"/>
          <w:sz w:val="22"/>
          <w:szCs w:val="22"/>
        </w:rPr>
        <w:lastRenderedPageBreak/>
        <w:t>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w:t>
      </w:r>
      <w:r w:rsidR="00FD52D4">
        <w:rPr>
          <w:rFonts w:asciiTheme="minorHAnsi" w:hAnsiTheme="minorHAnsi" w:cs="Calibri"/>
          <w:spacing w:val="-3"/>
          <w:sz w:val="22"/>
          <w:szCs w:val="22"/>
        </w:rPr>
        <w:t>teaching teams</w:t>
      </w:r>
      <w:r w:rsidRPr="00B16318">
        <w:rPr>
          <w:rFonts w:asciiTheme="minorHAnsi" w:hAnsiTheme="minorHAnsi" w:cs="Calibri"/>
          <w:spacing w:val="-3"/>
          <w:sz w:val="22"/>
          <w:szCs w:val="22"/>
        </w:rPr>
        <w:t xml:space="preserve">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w:t>
      </w:r>
      <w:r w:rsidR="00FD52D4">
        <w:rPr>
          <w:rFonts w:asciiTheme="minorHAnsi" w:hAnsiTheme="minorHAnsi" w:cs="Calibri"/>
          <w:spacing w:val="-3"/>
          <w:sz w:val="22"/>
          <w:szCs w:val="22"/>
        </w:rPr>
        <w:t>TTL</w:t>
      </w:r>
      <w:r w:rsidRPr="00B16318">
        <w:rPr>
          <w:rFonts w:asciiTheme="minorHAnsi" w:hAnsiTheme="minorHAnsi" w:cs="Calibri"/>
          <w:spacing w:val="-3"/>
          <w:sz w:val="22"/>
          <w:szCs w:val="22"/>
        </w:rPr>
        <w:t xml:space="preserve"> and follow the Falmouth School CPD programme as directed by </w:t>
      </w:r>
      <w:r w:rsidR="00FD52D4">
        <w:rPr>
          <w:rFonts w:asciiTheme="minorHAnsi" w:hAnsiTheme="minorHAnsi" w:cs="Calibri"/>
          <w:spacing w:val="-3"/>
          <w:sz w:val="22"/>
          <w:szCs w:val="22"/>
        </w:rPr>
        <w:t>the Leadership Team</w:t>
      </w:r>
      <w:r w:rsidRPr="00B16318">
        <w:rPr>
          <w:rFonts w:asciiTheme="minorHAnsi" w:hAnsiTheme="minorHAnsi" w:cs="Calibri"/>
          <w:spacing w:val="-3"/>
          <w:sz w:val="22"/>
          <w:szCs w:val="22"/>
        </w:rPr>
        <w:t xml:space="preserve">,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completing an induction period/</w:t>
      </w:r>
      <w:r w:rsidR="00FD52D4">
        <w:rPr>
          <w:rFonts w:asciiTheme="minorHAnsi" w:hAnsiTheme="minorHAnsi" w:cs="Calibri"/>
          <w:spacing w:val="-3"/>
          <w:sz w:val="22"/>
          <w:szCs w:val="22"/>
        </w:rPr>
        <w:t>ECT</w:t>
      </w:r>
      <w:r w:rsidRPr="00B16318">
        <w:rPr>
          <w:rFonts w:asciiTheme="minorHAnsi" w:hAnsiTheme="minorHAnsi" w:cs="Calibri"/>
          <w:spacing w:val="-3"/>
          <w:sz w:val="22"/>
          <w:szCs w:val="22"/>
        </w:rPr>
        <w:t xml:space="preserve">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xml:space="preserve">, which relate to the learners, curriculum or organisation of the school including </w:t>
      </w:r>
      <w:r w:rsidR="00FD52D4">
        <w:rPr>
          <w:rFonts w:asciiTheme="minorHAnsi" w:hAnsiTheme="minorHAnsi" w:cs="Calibri"/>
          <w:bCs/>
          <w:sz w:val="22"/>
          <w:szCs w:val="22"/>
        </w:rPr>
        <w:t>student support</w:t>
      </w:r>
      <w:r w:rsidRPr="00B16318">
        <w:rPr>
          <w:rFonts w:asciiTheme="minorHAnsi" w:hAnsiTheme="minorHAnsi" w:cs="Calibri"/>
          <w:bCs/>
          <w:sz w:val="22"/>
          <w:szCs w:val="22"/>
        </w:rPr>
        <w:t xml:space="preserve">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Take part as required in the review, development and management of the activities relating to the curriculum, organisation and </w:t>
      </w:r>
      <w:r w:rsidR="00E234E9">
        <w:rPr>
          <w:rFonts w:asciiTheme="minorHAnsi" w:hAnsiTheme="minorHAnsi" w:cs="Calibri"/>
          <w:bCs/>
          <w:sz w:val="22"/>
          <w:szCs w:val="22"/>
        </w:rPr>
        <w:t>student support</w:t>
      </w:r>
      <w:r w:rsidRPr="00B16318">
        <w:rPr>
          <w:rFonts w:asciiTheme="minorHAnsi" w:hAnsiTheme="minorHAnsi" w:cs="Calibri"/>
          <w:bCs/>
          <w:sz w:val="22"/>
          <w:szCs w:val="22"/>
        </w:rPr>
        <w:t xml:space="preserve">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w:t>
      </w:r>
      <w:r w:rsidR="00684C09">
        <w:rPr>
          <w:rFonts w:asciiTheme="minorHAnsi" w:hAnsiTheme="minorHAnsi" w:cs="Calibri"/>
          <w:bCs/>
          <w:sz w:val="22"/>
          <w:szCs w:val="22"/>
        </w:rPr>
        <w:t>Chief Executive Officer</w:t>
      </w:r>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51993"/>
    <w:rsid w:val="00072EDB"/>
    <w:rsid w:val="00094D9F"/>
    <w:rsid w:val="000F72A3"/>
    <w:rsid w:val="001F5E4C"/>
    <w:rsid w:val="0020796B"/>
    <w:rsid w:val="0028626B"/>
    <w:rsid w:val="00335D30"/>
    <w:rsid w:val="00393FA2"/>
    <w:rsid w:val="003F3913"/>
    <w:rsid w:val="005C0071"/>
    <w:rsid w:val="00645A09"/>
    <w:rsid w:val="00684C09"/>
    <w:rsid w:val="007F6B37"/>
    <w:rsid w:val="009C1160"/>
    <w:rsid w:val="009D6154"/>
    <w:rsid w:val="009F08E2"/>
    <w:rsid w:val="00A62DC1"/>
    <w:rsid w:val="00B16318"/>
    <w:rsid w:val="00B75ADD"/>
    <w:rsid w:val="00BD2C47"/>
    <w:rsid w:val="00C00283"/>
    <w:rsid w:val="00D526C5"/>
    <w:rsid w:val="00E234E9"/>
    <w:rsid w:val="00ED34CB"/>
    <w:rsid w:val="00F5312B"/>
    <w:rsid w:val="00FB156F"/>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ucation.gov.uk/publications/standard/publicationDetail/Page1/DFE-00066-2011" TargetMode="External"/><Relationship Id="rId4" Type="http://schemas.openxmlformats.org/officeDocument/2006/relationships/webSettings" Target="webSettings.xml"/><Relationship Id="rId9" Type="http://schemas.openxmlformats.org/officeDocument/2006/relationships/hyperlink" Target="https://www.education.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9350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10874</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2022-10-04T07:24:00Z</dcterms:created>
  <dcterms:modified xsi:type="dcterms:W3CDTF">2022-10-04T07:24:00Z</dcterms:modified>
</cp:coreProperties>
</file>