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jc w:val="left"/>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pStyle w:val="Title"/>
        <w:rPr>
          <w:rFonts w:ascii="Calibri" w:hAnsi="Calibri"/>
          <w:b w:val="0"/>
          <w:bCs/>
          <w:sz w:val="22"/>
          <w:szCs w:val="22"/>
        </w:rPr>
      </w:pPr>
    </w:p>
    <w:p>
      <w:pPr>
        <w:jc w:val="center"/>
        <w:rPr>
          <w:rFonts w:ascii="Calibri" w:hAnsi="Calibri"/>
          <w:b/>
          <w:bCs/>
        </w:rPr>
      </w:pPr>
      <w:bookmarkStart w:id="0" w:name="_Hlk134017682"/>
      <w:r>
        <w:rPr>
          <w:rFonts w:ascii="Calibri" w:hAnsi="Calibri"/>
          <w:b/>
          <w:bCs/>
        </w:rPr>
        <w:t>Teacher of Health and Social Care</w:t>
      </w:r>
    </w:p>
    <w:p>
      <w:pPr>
        <w:jc w:val="center"/>
        <w:rPr>
          <w:rFonts w:ascii="Calibri" w:hAnsi="Calibri"/>
          <w:b/>
          <w:bCs/>
        </w:rPr>
      </w:pPr>
    </w:p>
    <w:p>
      <w:pPr>
        <w:jc w:val="center"/>
        <w:rPr>
          <w:rFonts w:ascii="Calibri" w:hAnsi="Calibri"/>
          <w:b/>
        </w:rPr>
      </w:pPr>
      <w:bookmarkStart w:id="1" w:name="_GoBack"/>
      <w:bookmarkEnd w:id="1"/>
      <w:r>
        <w:rPr>
          <w:rFonts w:ascii="Calibri" w:hAnsi="Calibri"/>
          <w:b/>
          <w:bCs/>
        </w:rPr>
        <w:t>Two-term m</w:t>
      </w:r>
      <w:r>
        <w:rPr>
          <w:rFonts w:ascii="Calibri" w:hAnsi="Calibri"/>
          <w:b/>
        </w:rPr>
        <w:t>aternity cover 0.8FTE</w:t>
      </w:r>
    </w:p>
    <w:p>
      <w:pPr>
        <w:pStyle w:val="Title"/>
        <w:rPr>
          <w:rFonts w:ascii="Calibri" w:hAnsi="Calibri"/>
          <w:bCs/>
          <w:sz w:val="24"/>
          <w:szCs w:val="22"/>
        </w:rPr>
      </w:pPr>
    </w:p>
    <w:p>
      <w:pPr>
        <w:pStyle w:val="Title"/>
        <w:jc w:val="both"/>
        <w:rPr>
          <w:rFonts w:ascii="Calibri" w:hAnsi="Calibri"/>
          <w:b w:val="0"/>
          <w:bCs/>
          <w:sz w:val="22"/>
          <w:szCs w:val="22"/>
        </w:rPr>
      </w:pPr>
      <w:r>
        <w:rPr>
          <w:rFonts w:ascii="Calibri" w:hAnsi="Calibri"/>
          <w:bCs/>
          <w:sz w:val="22"/>
          <w:szCs w:val="22"/>
        </w:rPr>
        <w:t>Welcome</w:t>
      </w:r>
    </w:p>
    <w:p>
      <w:pPr>
        <w:pStyle w:val="Title"/>
        <w:jc w:val="both"/>
        <w:rPr>
          <w:rFonts w:ascii="Calibri" w:hAnsi="Calibri"/>
          <w:b w:val="0"/>
          <w:bCs/>
          <w:sz w:val="22"/>
          <w:szCs w:val="22"/>
        </w:rPr>
      </w:pPr>
      <w:r>
        <w:rPr>
          <w:rFonts w:ascii="Calibri" w:hAnsi="Calibri"/>
          <w:b w:val="0"/>
          <w:bCs/>
          <w:sz w:val="22"/>
          <w:szCs w:val="22"/>
        </w:rPr>
        <w:t xml:space="preserve">I would like to thank you for your interest in applying for the above post. You now have the opportunity to join a thriving and very successful Health and Social Care department built upon relationships of mutual respect between students and staff alike. Having had the chance to read our recruitment pack and find out a little bit more about our school and our department, I very much look forward to receiving your application. </w:t>
      </w:r>
      <w:r>
        <w:rPr>
          <w:rStyle w:val="xxcontentpasted0"/>
          <w:rFonts w:asciiTheme="minorHAnsi" w:hAnsiTheme="minorHAnsi" w:cstheme="minorHAnsi"/>
          <w:b w:val="0"/>
          <w:color w:val="000000"/>
          <w:sz w:val="22"/>
          <w:szCs w:val="22"/>
          <w:bdr w:val="none" w:sz="0" w:space="0" w:color="auto" w:frame="1"/>
          <w:shd w:val="clear" w:color="auto" w:fill="FFFFFF"/>
        </w:rPr>
        <w:t xml:space="preserve">We are also keen to hear from applicants that would like to be considered for this role. </w:t>
      </w:r>
    </w:p>
    <w:p>
      <w:pPr>
        <w:pStyle w:val="Title"/>
        <w:jc w:val="both"/>
        <w:rPr>
          <w:rFonts w:ascii="Calibri" w:hAnsi="Calibri"/>
          <w:bCs/>
          <w:sz w:val="22"/>
          <w:szCs w:val="22"/>
        </w:rPr>
      </w:pPr>
    </w:p>
    <w:p>
      <w:pPr>
        <w:pStyle w:val="ListParagraph"/>
        <w:spacing w:after="200" w:line="276" w:lineRule="auto"/>
        <w:ind w:left="0"/>
        <w:contextualSpacing/>
        <w:jc w:val="both"/>
        <w:rPr>
          <w:rFonts w:ascii="Calibri" w:hAnsi="Calibri"/>
          <w:b/>
          <w:bCs/>
          <w:sz w:val="22"/>
          <w:szCs w:val="22"/>
        </w:rPr>
      </w:pPr>
      <w:r>
        <w:rPr>
          <w:rFonts w:ascii="Calibri" w:hAnsi="Calibri"/>
          <w:b/>
          <w:bCs/>
          <w:sz w:val="22"/>
          <w:szCs w:val="22"/>
        </w:rPr>
        <w:t>Staffing</w:t>
      </w:r>
    </w:p>
    <w:p>
      <w:pPr>
        <w:pStyle w:val="ListParagraph"/>
        <w:spacing w:after="200" w:line="276" w:lineRule="auto"/>
        <w:ind w:left="0"/>
        <w:contextualSpacing/>
        <w:jc w:val="both"/>
        <w:rPr>
          <w:rFonts w:ascii="Calibri" w:hAnsi="Calibri"/>
          <w:bCs/>
          <w:sz w:val="22"/>
          <w:szCs w:val="22"/>
        </w:rPr>
      </w:pPr>
      <w:r>
        <w:rPr>
          <w:rFonts w:ascii="Calibri" w:hAnsi="Calibri" w:cs="Arial"/>
          <w:sz w:val="22"/>
          <w:szCs w:val="22"/>
        </w:rPr>
        <w:t>The Health and Social Care Department is a thriving team of expert practitioners with a total of 1 full-time teachers and 2 part-time teachers.</w:t>
      </w:r>
    </w:p>
    <w:p>
      <w:pPr>
        <w:pStyle w:val="BodyText"/>
        <w:jc w:val="both"/>
        <w:rPr>
          <w:rFonts w:ascii="Calibri" w:hAnsi="Calibri"/>
          <w:sz w:val="22"/>
          <w:szCs w:val="22"/>
        </w:rPr>
      </w:pPr>
      <w:r>
        <w:rPr>
          <w:rFonts w:ascii="Calibri" w:hAnsi="Calibri"/>
          <w:b/>
          <w:sz w:val="22"/>
          <w:szCs w:val="22"/>
        </w:rPr>
        <w:t>Results</w:t>
      </w:r>
    </w:p>
    <w:p>
      <w:pPr>
        <w:pStyle w:val="BodyText"/>
        <w:jc w:val="both"/>
        <w:rPr>
          <w:rFonts w:ascii="Calibri" w:hAnsi="Calibri"/>
          <w:sz w:val="22"/>
          <w:szCs w:val="22"/>
        </w:rPr>
      </w:pPr>
      <w:r>
        <w:rPr>
          <w:rFonts w:ascii="Calibri" w:hAnsi="Calibri"/>
          <w:sz w:val="22"/>
          <w:szCs w:val="22"/>
        </w:rPr>
        <w:t>Our results have been consistently high year on year.</w:t>
      </w:r>
    </w:p>
    <w:p>
      <w:pPr>
        <w:pStyle w:val="BodyText"/>
        <w:jc w:val="both"/>
        <w:rPr>
          <w:rFonts w:ascii="Calibri" w:hAnsi="Calibri"/>
          <w:sz w:val="22"/>
          <w:szCs w:val="22"/>
        </w:rPr>
      </w:pPr>
    </w:p>
    <w:p>
      <w:pPr>
        <w:pStyle w:val="BodyText"/>
        <w:jc w:val="both"/>
        <w:rPr>
          <w:rFonts w:ascii="Calibri" w:hAnsi="Calibri"/>
          <w:sz w:val="22"/>
          <w:szCs w:val="22"/>
        </w:rPr>
      </w:pPr>
      <w:r>
        <w:rPr>
          <w:rFonts w:ascii="Calibri" w:hAnsi="Calibri"/>
          <w:sz w:val="22"/>
          <w:szCs w:val="22"/>
        </w:rPr>
        <w:t xml:space="preserve">August 2023 our students achieved: </w:t>
      </w:r>
    </w:p>
    <w:p>
      <w:pPr>
        <w:pStyle w:val="BodyText"/>
        <w:jc w:val="both"/>
        <w:rPr>
          <w:rFonts w:ascii="Calibri" w:hAnsi="Calibri"/>
          <w:sz w:val="22"/>
          <w:szCs w:val="22"/>
        </w:rPr>
      </w:pPr>
    </w:p>
    <w:p>
      <w:pPr>
        <w:pStyle w:val="BodyText"/>
        <w:numPr>
          <w:ilvl w:val="0"/>
          <w:numId w:val="17"/>
        </w:numPr>
        <w:jc w:val="both"/>
        <w:rPr>
          <w:rFonts w:ascii="Calibri" w:hAnsi="Calibri"/>
          <w:sz w:val="22"/>
          <w:szCs w:val="22"/>
        </w:rPr>
      </w:pPr>
      <w:r>
        <w:rPr>
          <w:rFonts w:ascii="Calibri" w:hAnsi="Calibri"/>
          <w:sz w:val="22"/>
          <w:szCs w:val="22"/>
        </w:rPr>
        <w:t>77% achieved Pass and above (BTEC Level 2 HSC)</w:t>
      </w:r>
    </w:p>
    <w:p>
      <w:pPr>
        <w:pStyle w:val="BodyText"/>
        <w:numPr>
          <w:ilvl w:val="0"/>
          <w:numId w:val="17"/>
        </w:numPr>
        <w:jc w:val="both"/>
        <w:rPr>
          <w:rFonts w:ascii="Calibri" w:hAnsi="Calibri"/>
          <w:sz w:val="22"/>
          <w:szCs w:val="22"/>
        </w:rPr>
      </w:pPr>
      <w:r>
        <w:rPr>
          <w:rFonts w:ascii="Calibri" w:hAnsi="Calibri"/>
          <w:sz w:val="22"/>
          <w:szCs w:val="22"/>
        </w:rPr>
        <w:t>85% achieved Pass and above (BTEC Level 3 HSC)</w:t>
      </w:r>
    </w:p>
    <w:bookmarkEnd w:id="0"/>
    <w:p>
      <w:pPr>
        <w:pStyle w:val="BodyText"/>
        <w:jc w:val="both"/>
        <w:rPr>
          <w:rFonts w:ascii="Calibri" w:hAnsi="Calibri"/>
          <w:bCs/>
          <w:sz w:val="22"/>
          <w:szCs w:val="22"/>
        </w:rPr>
      </w:pPr>
    </w:p>
    <w:p>
      <w:pPr>
        <w:pStyle w:val="BodyText"/>
        <w:jc w:val="both"/>
        <w:rPr>
          <w:rFonts w:asciiTheme="minorHAnsi" w:hAnsiTheme="minorHAnsi" w:cstheme="minorHAnsi"/>
          <w:b/>
          <w:bCs/>
          <w:color w:val="000000" w:themeColor="text1"/>
          <w:sz w:val="22"/>
          <w:szCs w:val="22"/>
        </w:rPr>
      </w:pPr>
      <w:bookmarkStart w:id="2" w:name="_Hlk133951339"/>
      <w:r>
        <w:rPr>
          <w:rFonts w:asciiTheme="minorHAnsi" w:hAnsiTheme="minorHAnsi" w:cstheme="minorHAnsi"/>
          <w:b/>
          <w:bCs/>
          <w:color w:val="000000" w:themeColor="text1"/>
          <w:sz w:val="22"/>
          <w:szCs w:val="22"/>
        </w:rPr>
        <w:t>Aims, Philosophy and Ethos</w:t>
      </w:r>
    </w:p>
    <w:p>
      <w:pPr>
        <w:pStyle w:val="BodyText"/>
        <w:jc w:val="both"/>
        <w:rPr>
          <w:rFonts w:asciiTheme="minorHAnsi" w:hAnsiTheme="minorHAnsi" w:cstheme="minorHAnsi"/>
          <w:b/>
          <w:bCs/>
          <w:color w:val="000000" w:themeColor="text1"/>
          <w:sz w:val="22"/>
          <w:szCs w:val="22"/>
        </w:rPr>
      </w:pPr>
    </w:p>
    <w:p>
      <w:pPr>
        <w:rPr>
          <w:rFonts w:asciiTheme="minorHAnsi" w:hAnsiTheme="minorHAnsi" w:cstheme="minorHAnsi"/>
          <w:sz w:val="22"/>
          <w:szCs w:val="22"/>
        </w:rPr>
      </w:pPr>
      <w:bookmarkStart w:id="3" w:name="_Hlk133951680"/>
      <w:bookmarkEnd w:id="2"/>
      <w:r>
        <w:rPr>
          <w:rFonts w:asciiTheme="minorHAnsi" w:hAnsiTheme="minorHAnsi" w:cstheme="minorHAnsi"/>
          <w:sz w:val="22"/>
          <w:szCs w:val="22"/>
        </w:rPr>
        <w:t xml:space="preserve">Health and Social Care is a fundamental corner stone of our society, therefore our curriculum will ensure that the core aspects of Health and Social Care are personified throughout our teaching.  The curriculum is organised to encompass the crucial areas of development of ones’ self through to the essential values that the service provides to our society.  About 3 million people in the UK work in Health and Social Care, which is equivalent to 1 in every 10 people.  Demand for both Health and Social Care has risen to the ageing population and recent circumstances of living in a pandemic so it is sure to continue to play a key role in UK society.  The demand for people to fill these vital jobs will continue to increase.  Our rationale is to provide a fluid and dynamic knowledge rich KS4 option curriculum, which gives learners, access and progress to KS5 and beyond.  </w:t>
      </w:r>
    </w:p>
    <w:p>
      <w:pPr>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Through our curriculum we aim to inspire young people to have a passion for Health and Social Care and our main philosophy is to:</w:t>
      </w:r>
    </w:p>
    <w:p>
      <w:pPr>
        <w:jc w:val="both"/>
        <w:rPr>
          <w:rFonts w:asciiTheme="minorHAnsi" w:hAnsiTheme="minorHAnsi" w:cstheme="minorHAnsi"/>
          <w:sz w:val="22"/>
          <w:szCs w:val="22"/>
        </w:rPr>
      </w:pPr>
    </w:p>
    <w:p>
      <w:pPr>
        <w:pStyle w:val="ListParagraph"/>
        <w:numPr>
          <w:ilvl w:val="0"/>
          <w:numId w:val="28"/>
        </w:numPr>
        <w:jc w:val="both"/>
        <w:rPr>
          <w:rFonts w:ascii="Calibri" w:hAnsi="Calibri" w:cs="Calibri"/>
          <w:sz w:val="22"/>
          <w:szCs w:val="22"/>
        </w:rPr>
      </w:pPr>
      <w:r>
        <w:rPr>
          <w:rFonts w:ascii="Calibri" w:hAnsi="Calibri" w:cs="Calibri"/>
          <w:sz w:val="22"/>
          <w:szCs w:val="22"/>
        </w:rPr>
        <w:t>Ensure the Health and Social Care lessons are consistently of a high quality, ensuring all pupils are taught in line with the examination board.</w:t>
      </w:r>
    </w:p>
    <w:p>
      <w:pPr>
        <w:numPr>
          <w:ilvl w:val="0"/>
          <w:numId w:val="27"/>
        </w:numPr>
        <w:jc w:val="both"/>
        <w:rPr>
          <w:rFonts w:ascii="Calibri" w:hAnsi="Calibri" w:cs="Calibri"/>
          <w:sz w:val="22"/>
          <w:szCs w:val="22"/>
        </w:rPr>
      </w:pPr>
      <w:r>
        <w:rPr>
          <w:rFonts w:ascii="Calibri" w:hAnsi="Calibri" w:cs="Calibri"/>
          <w:sz w:val="22"/>
          <w:szCs w:val="22"/>
        </w:rPr>
        <w:t>Challenge learners to aspire for a range of Health and Social Care jobs ranging from theatre nurses to occupational therapists.</w:t>
      </w:r>
    </w:p>
    <w:p>
      <w:pPr>
        <w:numPr>
          <w:ilvl w:val="0"/>
          <w:numId w:val="27"/>
        </w:numPr>
        <w:jc w:val="both"/>
        <w:rPr>
          <w:rFonts w:ascii="Calibri" w:hAnsi="Calibri" w:cs="Calibri"/>
          <w:sz w:val="22"/>
          <w:szCs w:val="22"/>
        </w:rPr>
      </w:pPr>
      <w:r>
        <w:rPr>
          <w:rFonts w:ascii="Calibri" w:hAnsi="Calibri" w:cs="Calibri"/>
          <w:sz w:val="22"/>
          <w:szCs w:val="22"/>
        </w:rPr>
        <w:t>Provide pupils with the opportunity to engage in a range of health and social care opportunities</w:t>
      </w:r>
    </w:p>
    <w:p>
      <w:pPr>
        <w:numPr>
          <w:ilvl w:val="0"/>
          <w:numId w:val="27"/>
        </w:numPr>
        <w:jc w:val="both"/>
        <w:rPr>
          <w:rFonts w:ascii="Calibri" w:hAnsi="Calibri" w:cs="Calibri"/>
          <w:sz w:val="22"/>
          <w:szCs w:val="22"/>
        </w:rPr>
      </w:pPr>
      <w:r>
        <w:rPr>
          <w:rFonts w:ascii="Calibri" w:hAnsi="Calibri" w:cs="Calibri"/>
          <w:sz w:val="22"/>
          <w:szCs w:val="22"/>
        </w:rPr>
        <w:lastRenderedPageBreak/>
        <w:t xml:space="preserve">Cultivate an environment of curiosity for learning across the components taught </w:t>
      </w:r>
    </w:p>
    <w:p>
      <w:pPr>
        <w:numPr>
          <w:ilvl w:val="0"/>
          <w:numId w:val="27"/>
        </w:numPr>
        <w:jc w:val="both"/>
        <w:rPr>
          <w:rFonts w:ascii="Calibri" w:hAnsi="Calibri" w:cs="Calibri"/>
          <w:sz w:val="22"/>
          <w:szCs w:val="22"/>
        </w:rPr>
      </w:pPr>
      <w:r>
        <w:rPr>
          <w:rFonts w:ascii="Calibri" w:hAnsi="Calibri" w:cs="Calibri"/>
          <w:sz w:val="22"/>
          <w:szCs w:val="22"/>
        </w:rPr>
        <w:t>To develop an understanding of Health and Social Care services that will help pupils to develop skills in applying care values that are common across the sector</w:t>
      </w:r>
    </w:p>
    <w:p>
      <w:pPr>
        <w:numPr>
          <w:ilvl w:val="0"/>
          <w:numId w:val="27"/>
        </w:numPr>
        <w:jc w:val="both"/>
        <w:rPr>
          <w:rFonts w:ascii="Calibri" w:hAnsi="Calibri" w:cs="Calibri"/>
          <w:sz w:val="22"/>
          <w:szCs w:val="22"/>
        </w:rPr>
      </w:pPr>
      <w:r>
        <w:rPr>
          <w:rFonts w:ascii="Calibri" w:hAnsi="Calibri" w:cs="Calibri"/>
          <w:sz w:val="22"/>
          <w:szCs w:val="22"/>
        </w:rPr>
        <w:t>To allow pupils to consolidate their understanding of Health and Social Care Services and ensure learners develop skills in applying care values that are common across the sector</w:t>
      </w:r>
    </w:p>
    <w:p>
      <w:pPr>
        <w:numPr>
          <w:ilvl w:val="0"/>
          <w:numId w:val="27"/>
        </w:numPr>
        <w:jc w:val="both"/>
        <w:rPr>
          <w:rFonts w:ascii="Calibri" w:hAnsi="Calibri" w:cs="Calibri"/>
          <w:sz w:val="22"/>
          <w:szCs w:val="22"/>
        </w:rPr>
      </w:pPr>
      <w:r>
        <w:rPr>
          <w:rFonts w:ascii="Calibri" w:hAnsi="Calibri" w:cs="Calibri"/>
          <w:sz w:val="22"/>
          <w:szCs w:val="22"/>
        </w:rPr>
        <w:t xml:space="preserve">To ensure pupils are aware of how people grow and develop over the course of their lives from infancy to old age, and the factors that may affect this, such as major life events like illness or parenthood.  Learners will analyse this impact from a positive and negative viewpoint, demonstrating empathy.  </w:t>
      </w:r>
    </w:p>
    <w:bookmarkEnd w:id="3"/>
    <w:p>
      <w:pPr>
        <w:jc w:val="both"/>
        <w:rPr>
          <w:rFonts w:ascii="Calibri" w:hAnsi="Calibri" w:cs="Arial"/>
          <w:b/>
          <w:sz w:val="22"/>
          <w:szCs w:val="22"/>
        </w:rPr>
      </w:pPr>
    </w:p>
    <w:p>
      <w:pPr>
        <w:jc w:val="both"/>
        <w:rPr>
          <w:rFonts w:ascii="Calibri" w:hAnsi="Calibri" w:cs="Arial"/>
          <w:b/>
          <w:sz w:val="22"/>
          <w:szCs w:val="22"/>
        </w:rPr>
      </w:pPr>
    </w:p>
    <w:p>
      <w:pPr>
        <w:jc w:val="both"/>
        <w:rPr>
          <w:rFonts w:ascii="Calibri" w:hAnsi="Calibri" w:cs="Arial"/>
          <w:b/>
          <w:sz w:val="22"/>
          <w:szCs w:val="22"/>
        </w:rPr>
      </w:pPr>
      <w:bookmarkStart w:id="4" w:name="_Hlk134017642"/>
      <w:r>
        <w:rPr>
          <w:rFonts w:ascii="Calibri" w:hAnsi="Calibri" w:cs="Arial"/>
          <w:b/>
          <w:sz w:val="22"/>
          <w:szCs w:val="22"/>
        </w:rPr>
        <w:t>Key Stage 4 Curriculum Overview</w:t>
      </w:r>
    </w:p>
    <w:p>
      <w:pPr>
        <w:jc w:val="both"/>
        <w:rPr>
          <w:rFonts w:ascii="Calibri" w:hAnsi="Calibri" w:cs="Arial"/>
          <w:b/>
          <w:sz w:val="22"/>
          <w:szCs w:val="22"/>
        </w:rPr>
      </w:pPr>
    </w:p>
    <w:p>
      <w:pPr>
        <w:pStyle w:val="NormalWeb"/>
        <w:spacing w:before="0" w:beforeAutospacing="0" w:after="150" w:afterAutospacing="0"/>
        <w:rPr>
          <w:rFonts w:ascii="Calibri" w:hAnsi="Calibri" w:cs="Arial"/>
          <w:sz w:val="22"/>
          <w:szCs w:val="22"/>
        </w:rPr>
      </w:pPr>
      <w:r>
        <w:rPr>
          <w:rFonts w:ascii="Calibri" w:hAnsi="Calibri" w:cs="Arial"/>
          <w:sz w:val="22"/>
          <w:szCs w:val="22"/>
        </w:rPr>
        <w:t xml:space="preserve">Students in Year 10 and 11 follow the Pearson BTEC Tech Award in Health and Social Care specification. Through our curriculum, students develop their knowledge and understanding across the key components: </w:t>
      </w:r>
    </w:p>
    <w:p>
      <w:pPr>
        <w:pStyle w:val="NormalWeb"/>
        <w:numPr>
          <w:ilvl w:val="0"/>
          <w:numId w:val="30"/>
        </w:numPr>
        <w:spacing w:before="0" w:beforeAutospacing="0" w:after="150" w:afterAutospacing="0"/>
        <w:rPr>
          <w:rFonts w:ascii="Calibri" w:hAnsi="Calibri" w:cs="Arial"/>
          <w:sz w:val="22"/>
          <w:szCs w:val="22"/>
        </w:rPr>
      </w:pPr>
      <w:r>
        <w:rPr>
          <w:rFonts w:ascii="Calibri" w:hAnsi="Calibri" w:cs="Arial"/>
          <w:sz w:val="22"/>
          <w:szCs w:val="22"/>
        </w:rPr>
        <w:t>Component 1 – Human Lifespan Development</w:t>
      </w:r>
    </w:p>
    <w:p>
      <w:pPr>
        <w:pStyle w:val="NormalWeb"/>
        <w:numPr>
          <w:ilvl w:val="0"/>
          <w:numId w:val="29"/>
        </w:numPr>
        <w:spacing w:before="0" w:beforeAutospacing="0" w:after="150" w:afterAutospacing="0"/>
        <w:rPr>
          <w:rFonts w:ascii="Calibri" w:hAnsi="Calibri" w:cs="Arial"/>
          <w:sz w:val="22"/>
          <w:szCs w:val="22"/>
        </w:rPr>
      </w:pPr>
      <w:r>
        <w:rPr>
          <w:rFonts w:ascii="Calibri" w:hAnsi="Calibri" w:cs="Arial"/>
          <w:sz w:val="22"/>
          <w:szCs w:val="22"/>
        </w:rPr>
        <w:t xml:space="preserve">Component 2 – Health and Social Care Services </w:t>
      </w:r>
    </w:p>
    <w:p>
      <w:pPr>
        <w:pStyle w:val="NormalWeb"/>
        <w:numPr>
          <w:ilvl w:val="0"/>
          <w:numId w:val="29"/>
        </w:numPr>
        <w:spacing w:before="0" w:beforeAutospacing="0" w:after="150" w:afterAutospacing="0"/>
        <w:rPr>
          <w:rFonts w:ascii="Calibri" w:hAnsi="Calibri" w:cs="Arial"/>
          <w:sz w:val="22"/>
          <w:szCs w:val="22"/>
        </w:rPr>
      </w:pPr>
      <w:r>
        <w:rPr>
          <w:rFonts w:ascii="Calibri" w:hAnsi="Calibri" w:cs="Arial"/>
          <w:sz w:val="22"/>
          <w:szCs w:val="22"/>
        </w:rPr>
        <w:t xml:space="preserve">Component 3 – Health and Wellbeing </w:t>
      </w:r>
    </w:p>
    <w:p>
      <w:pPr>
        <w:pStyle w:val="NormalWeb"/>
        <w:spacing w:before="0" w:beforeAutospacing="0" w:after="150" w:afterAutospacing="0"/>
        <w:rPr>
          <w:rFonts w:ascii="Calibri" w:hAnsi="Calibri" w:cs="Arial"/>
          <w:sz w:val="22"/>
          <w:szCs w:val="22"/>
        </w:rPr>
      </w:pPr>
      <w:r>
        <w:rPr>
          <w:rFonts w:ascii="Calibri" w:hAnsi="Calibri" w:cs="Arial"/>
          <w:sz w:val="22"/>
          <w:szCs w:val="22"/>
        </w:rPr>
        <w:t xml:space="preserve">Student who are studying this two year </w:t>
      </w:r>
      <w:proofErr w:type="spellStart"/>
      <w:r>
        <w:rPr>
          <w:rFonts w:ascii="Calibri" w:hAnsi="Calibri" w:cs="Arial"/>
          <w:sz w:val="22"/>
          <w:szCs w:val="22"/>
        </w:rPr>
        <w:t>programme</w:t>
      </w:r>
      <w:proofErr w:type="spellEnd"/>
      <w:r>
        <w:rPr>
          <w:rFonts w:ascii="Calibri" w:hAnsi="Calibri" w:cs="Arial"/>
          <w:sz w:val="22"/>
          <w:szCs w:val="22"/>
        </w:rPr>
        <w:t xml:space="preserve"> will give learners the opportunity to develop applied knowledge in the following areas: </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The life stages and key characteristics in the physical, intellectual, emotional and social (PIES) development classifications and the different factors that can affect an individual’s growth and development</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Different life events and how individuals can adapt or be supported through changes caused by life events </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Health and social care conditions, how they can be managed by the individual and the different health and social care services that are available </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The barriers and obstacles an individual may encounter and how these can be overcome </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The skills, attributes and values required to give care and how these benefit the individual</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How factors can affect an individual’s current health and wellbeing </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How physiological indicators and an individual’s lifestyle choices determine physical health</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The use of the person-centered approach</w:t>
      </w:r>
    </w:p>
    <w:p>
      <w:pPr>
        <w:pStyle w:val="NormalWeb"/>
        <w:numPr>
          <w:ilvl w:val="0"/>
          <w:numId w:val="31"/>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Recommendations and actions to improving health and wellbeing and the barriers or obstacles individuals may face when following recommendations and the support available to overcome.</w:t>
      </w:r>
    </w:p>
    <w:p>
      <w:pPr>
        <w:pStyle w:val="NormalWeb"/>
        <w:spacing w:before="0" w:beforeAutospacing="0" w:after="150" w:afterAutospacing="0"/>
        <w:rPr>
          <w:rFonts w:ascii="Calibri" w:hAnsi="Calibri" w:cs="Arial"/>
          <w:sz w:val="22"/>
          <w:szCs w:val="22"/>
        </w:rPr>
      </w:pPr>
    </w:p>
    <w:p>
      <w:pPr>
        <w:pStyle w:val="NormalWeb"/>
        <w:spacing w:before="0" w:beforeAutospacing="0" w:after="150" w:afterAutospacing="0"/>
        <w:rPr>
          <w:rFonts w:ascii="Calibri" w:hAnsi="Calibri" w:cs="Arial"/>
          <w:b/>
          <w:sz w:val="22"/>
          <w:szCs w:val="22"/>
        </w:rPr>
      </w:pPr>
      <w:r>
        <w:rPr>
          <w:rFonts w:ascii="Calibri" w:hAnsi="Calibri" w:cs="Arial"/>
          <w:b/>
          <w:sz w:val="22"/>
          <w:szCs w:val="22"/>
        </w:rPr>
        <w:t xml:space="preserve">Key Stage 5 Curriculum Overview </w:t>
      </w:r>
    </w:p>
    <w:p>
      <w:pPr>
        <w:widowControl w:val="0"/>
        <w:rPr>
          <w:rFonts w:asciiTheme="minorHAnsi" w:hAnsiTheme="minorHAnsi" w:cstheme="minorHAnsi"/>
          <w:color w:val="000000" w:themeColor="text1"/>
          <w:sz w:val="22"/>
          <w:szCs w:val="22"/>
        </w:rPr>
      </w:pPr>
      <w:r>
        <w:rPr>
          <w:rFonts w:ascii="Calibri" w:hAnsi="Calibri" w:cs="Arial"/>
          <w:sz w:val="22"/>
          <w:szCs w:val="22"/>
        </w:rPr>
        <w:t xml:space="preserve">Student in Year 12 follow the Pearson BTEC Level 3 National Extended Certificate in Health and Social Care. </w:t>
      </w:r>
      <w:r>
        <w:rPr>
          <w:rFonts w:asciiTheme="minorHAnsi" w:hAnsiTheme="minorHAnsi" w:cstheme="minorHAnsi"/>
          <w:color w:val="000000" w:themeColor="text1"/>
          <w:sz w:val="22"/>
          <w:szCs w:val="22"/>
        </w:rPr>
        <w:t xml:space="preserve">This qualification is the main focus of a two-year study programme of learning and is equivalent to one A Level, meaning that learners will receive a broad basis of study for the HSC sector. </w:t>
      </w:r>
    </w:p>
    <w:p>
      <w:pPr>
        <w:widowContro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this course learners must complete 3 Mandatory Units and 1 Additional unit:</w:t>
      </w:r>
    </w:p>
    <w:p>
      <w:pPr>
        <w:widowControl w:val="0"/>
        <w:rPr>
          <w:rFonts w:asciiTheme="minorHAnsi" w:hAnsiTheme="minorHAnsi" w:cstheme="minorHAnsi"/>
          <w:color w:val="000000" w:themeColor="text1"/>
          <w:sz w:val="22"/>
          <w:szCs w:val="22"/>
        </w:rPr>
      </w:pPr>
    </w:p>
    <w:p>
      <w:pPr>
        <w:pStyle w:val="ListParagraph"/>
        <w:widowControl w:val="0"/>
        <w:numPr>
          <w:ilvl w:val="0"/>
          <w:numId w:val="34"/>
        </w:numPr>
        <w:spacing w:after="120" w:line="285"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Human Lifespan Development (Exam – Unit 1)</w:t>
      </w:r>
    </w:p>
    <w:p>
      <w:pPr>
        <w:pStyle w:val="ListParagraph"/>
        <w:widowControl w:val="0"/>
        <w:numPr>
          <w:ilvl w:val="0"/>
          <w:numId w:val="34"/>
        </w:numPr>
        <w:spacing w:after="120" w:line="285"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Working in Health and Social Care (Exam – Unit 2)</w:t>
      </w:r>
    </w:p>
    <w:p>
      <w:pPr>
        <w:pStyle w:val="ListParagraph"/>
        <w:widowControl w:val="0"/>
        <w:numPr>
          <w:ilvl w:val="0"/>
          <w:numId w:val="34"/>
        </w:numPr>
        <w:spacing w:after="120" w:line="285"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Meeting Individual Care and Support Needs (Assignment set, coursework assessed - Unit 5) </w:t>
      </w:r>
    </w:p>
    <w:p>
      <w:pPr>
        <w:pStyle w:val="ListParagraph"/>
        <w:widowControl w:val="0"/>
        <w:numPr>
          <w:ilvl w:val="0"/>
          <w:numId w:val="34"/>
        </w:numPr>
        <w:spacing w:after="120" w:line="285" w:lineRule="auto"/>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Physiological Disorders and their Care (Assignment set, coursework assessed - Unit 14) </w:t>
      </w:r>
    </w:p>
    <w:p>
      <w:pPr>
        <w:pStyle w:val="NormalWeb"/>
        <w:spacing w:before="0" w:beforeAutospacing="0" w:after="150" w:afterAutospacing="0"/>
        <w:rPr>
          <w:rFonts w:ascii="Titillium Web" w:hAnsi="Titillium Web"/>
          <w:color w:val="555555"/>
        </w:rPr>
      </w:pPr>
      <w:r>
        <w:rPr>
          <w:rFonts w:ascii="Calibri" w:hAnsi="Calibri"/>
          <w:bCs/>
          <w:sz w:val="22"/>
          <w:szCs w:val="22"/>
        </w:rPr>
        <w:t>Hopefully this gives you an insight into the department.</w:t>
      </w:r>
    </w:p>
    <w:p>
      <w:pPr>
        <w:pStyle w:val="BodyText"/>
        <w:jc w:val="both"/>
        <w:rPr>
          <w:rFonts w:ascii="Calibri" w:hAnsi="Calibri"/>
          <w:bCs/>
          <w:sz w:val="22"/>
          <w:szCs w:val="22"/>
        </w:rPr>
      </w:pPr>
    </w:p>
    <w:p>
      <w:pPr>
        <w:pStyle w:val="BodyText"/>
        <w:jc w:val="both"/>
        <w:rPr>
          <w:rFonts w:ascii="Calibri" w:hAnsi="Calibri"/>
          <w:bCs/>
          <w:sz w:val="22"/>
          <w:szCs w:val="22"/>
        </w:rPr>
      </w:pPr>
      <w:r>
        <w:rPr>
          <w:rFonts w:ascii="Calibri" w:hAnsi="Calibri"/>
          <w:bCs/>
          <w:sz w:val="22"/>
          <w:szCs w:val="22"/>
        </w:rPr>
        <w:t xml:space="preserve">Best wishes and I look forward to receiving your application. </w:t>
      </w:r>
    </w:p>
    <w:p>
      <w:pPr>
        <w:pStyle w:val="BodyText"/>
        <w:jc w:val="both"/>
        <w:rPr>
          <w:rFonts w:ascii="Calibri" w:hAnsi="Calibri"/>
          <w:bCs/>
          <w:sz w:val="22"/>
          <w:szCs w:val="22"/>
        </w:rPr>
      </w:pPr>
    </w:p>
    <w:p>
      <w:pPr>
        <w:pStyle w:val="BodyText"/>
        <w:jc w:val="both"/>
        <w:rPr>
          <w:rFonts w:ascii="Calibri" w:hAnsi="Calibri"/>
          <w:bCs/>
          <w:sz w:val="22"/>
          <w:szCs w:val="22"/>
        </w:rPr>
      </w:pPr>
      <w:r>
        <w:rPr>
          <w:rFonts w:ascii="Calibri" w:hAnsi="Calibri"/>
          <w:bCs/>
          <w:sz w:val="22"/>
          <w:szCs w:val="22"/>
        </w:rPr>
        <w:t xml:space="preserve">Hayley Hunter </w:t>
      </w:r>
    </w:p>
    <w:p>
      <w:pPr>
        <w:pStyle w:val="BodyText"/>
        <w:jc w:val="both"/>
        <w:rPr>
          <w:rFonts w:ascii="Calibri" w:hAnsi="Calibri"/>
          <w:bCs/>
          <w:sz w:val="22"/>
          <w:szCs w:val="22"/>
        </w:rPr>
      </w:pPr>
      <w:r>
        <w:rPr>
          <w:rFonts w:ascii="Calibri" w:hAnsi="Calibri"/>
          <w:bCs/>
          <w:sz w:val="22"/>
          <w:szCs w:val="22"/>
        </w:rPr>
        <w:t xml:space="preserve">Head of Health and Social Care  </w:t>
      </w:r>
    </w:p>
    <w:p>
      <w:pPr>
        <w:pStyle w:val="BodyText"/>
        <w:jc w:val="both"/>
        <w:rPr>
          <w:rFonts w:ascii="Calibri" w:hAnsi="Calibri"/>
          <w:bCs/>
          <w:sz w:val="22"/>
          <w:szCs w:val="22"/>
        </w:rPr>
      </w:pPr>
    </w:p>
    <w:p>
      <w:pPr>
        <w:pStyle w:val="BodyText"/>
        <w:jc w:val="both"/>
        <w:rPr>
          <w:rFonts w:ascii="Calibri" w:hAnsi="Calibri"/>
          <w:b/>
          <w:bCs/>
          <w:color w:val="FF0000"/>
          <w:sz w:val="22"/>
          <w:szCs w:val="22"/>
        </w:rPr>
      </w:pPr>
      <w:r>
        <w:rPr>
          <w:rFonts w:ascii="Calibri" w:hAnsi="Calibri"/>
          <w:b/>
          <w:bCs/>
          <w:color w:val="FF0000"/>
          <w:sz w:val="22"/>
          <w:szCs w:val="22"/>
        </w:rPr>
        <w:t>h.hunter@bishopchalloner.bham.sch.uk</w:t>
      </w:r>
    </w:p>
    <w:bookmarkEnd w:id="4"/>
    <w:p>
      <w:pPr>
        <w:pStyle w:val="Title"/>
        <w:jc w:val="both"/>
        <w:rPr>
          <w:rFonts w:ascii="Calibri" w:hAnsi="Calibri"/>
          <w:bCs/>
          <w:sz w:val="22"/>
          <w:szCs w:val="22"/>
          <w:u w:val="single"/>
        </w:rPr>
      </w:pPr>
    </w:p>
    <w:sectPr>
      <w:headerReference w:type="default" r:id="rId10"/>
      <w:footerReference w:type="even" r:id="rId11"/>
      <w:footerReference w:type="default" r:id="rId12"/>
      <w:headerReference w:type="first" r:id="rId13"/>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tillium Web">
    <w:altName w:val="Sitka Small"/>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7728" behindDoc="1" locked="0" layoutInCell="1" allowOverlap="1">
          <wp:simplePos x="0" y="0"/>
          <wp:positionH relativeFrom="column">
            <wp:posOffset>-723900</wp:posOffset>
          </wp:positionH>
          <wp:positionV relativeFrom="paragraph">
            <wp:posOffset>-481330</wp:posOffset>
          </wp:positionV>
          <wp:extent cx="7553325" cy="10682605"/>
          <wp:effectExtent l="0" t="0" r="0" b="0"/>
          <wp:wrapNone/>
          <wp:docPr id="1" name="Picture 1" descr="Depart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5B"/>
    <w:multiLevelType w:val="multilevel"/>
    <w:tmpl w:val="BBF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04B1C"/>
    <w:multiLevelType w:val="hybridMultilevel"/>
    <w:tmpl w:val="6FE88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4B94"/>
    <w:multiLevelType w:val="hybridMultilevel"/>
    <w:tmpl w:val="519AF1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24785"/>
    <w:multiLevelType w:val="hybridMultilevel"/>
    <w:tmpl w:val="6B72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3742"/>
    <w:multiLevelType w:val="hybridMultilevel"/>
    <w:tmpl w:val="D31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9123A"/>
    <w:multiLevelType w:val="hybridMultilevel"/>
    <w:tmpl w:val="D87A6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968E2"/>
    <w:multiLevelType w:val="hybridMultilevel"/>
    <w:tmpl w:val="E6D8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A4526"/>
    <w:multiLevelType w:val="hybridMultilevel"/>
    <w:tmpl w:val="E5C8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663"/>
    <w:multiLevelType w:val="hybridMultilevel"/>
    <w:tmpl w:val="4014D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2D69DF"/>
    <w:multiLevelType w:val="hybridMultilevel"/>
    <w:tmpl w:val="9A703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D0FB2"/>
    <w:multiLevelType w:val="hybridMultilevel"/>
    <w:tmpl w:val="B30E9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FC51B4"/>
    <w:multiLevelType w:val="hybridMultilevel"/>
    <w:tmpl w:val="36329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FA2D19"/>
    <w:multiLevelType w:val="hybridMultilevel"/>
    <w:tmpl w:val="8AF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0046A"/>
    <w:multiLevelType w:val="hybridMultilevel"/>
    <w:tmpl w:val="F4BA1C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213E9"/>
    <w:multiLevelType w:val="hybridMultilevel"/>
    <w:tmpl w:val="433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D378C2"/>
    <w:multiLevelType w:val="hybridMultilevel"/>
    <w:tmpl w:val="064C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1369C"/>
    <w:multiLevelType w:val="hybridMultilevel"/>
    <w:tmpl w:val="776E2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F45249"/>
    <w:multiLevelType w:val="hybridMultilevel"/>
    <w:tmpl w:val="34A85C74"/>
    <w:lvl w:ilvl="0" w:tplc="08EA37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481D"/>
    <w:multiLevelType w:val="hybridMultilevel"/>
    <w:tmpl w:val="8DB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30FDD"/>
    <w:multiLevelType w:val="hybridMultilevel"/>
    <w:tmpl w:val="6BA6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0460C"/>
    <w:multiLevelType w:val="hybridMultilevel"/>
    <w:tmpl w:val="0896C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C41719"/>
    <w:multiLevelType w:val="hybridMultilevel"/>
    <w:tmpl w:val="4E72DD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2A2541D"/>
    <w:multiLevelType w:val="hybridMultilevel"/>
    <w:tmpl w:val="54D8565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56897D7A"/>
    <w:multiLevelType w:val="hybridMultilevel"/>
    <w:tmpl w:val="05165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347"/>
    <w:multiLevelType w:val="multilevel"/>
    <w:tmpl w:val="81F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86D14"/>
    <w:multiLevelType w:val="hybridMultilevel"/>
    <w:tmpl w:val="C5AE32BE"/>
    <w:lvl w:ilvl="0" w:tplc="F29C0746">
      <w:start w:val="3"/>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1537B"/>
    <w:multiLevelType w:val="hybridMultilevel"/>
    <w:tmpl w:val="A872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B2562"/>
    <w:multiLevelType w:val="hybridMultilevel"/>
    <w:tmpl w:val="34C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AF3"/>
    <w:multiLevelType w:val="hybridMultilevel"/>
    <w:tmpl w:val="EFC2A85E"/>
    <w:lvl w:ilvl="0" w:tplc="04090005">
      <w:start w:val="1"/>
      <w:numFmt w:val="bullet"/>
      <w:lvlText w:val=""/>
      <w:lvlJc w:val="left"/>
      <w:pPr>
        <w:tabs>
          <w:tab w:val="num" w:pos="720"/>
        </w:tabs>
        <w:ind w:left="720" w:hanging="360"/>
      </w:pPr>
      <w:rPr>
        <w:rFonts w:ascii="Wingdings" w:hAnsi="Wingdings" w:hint="default"/>
      </w:rPr>
    </w:lvl>
    <w:lvl w:ilvl="1" w:tplc="89668FD2">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A0FE3"/>
    <w:multiLevelType w:val="hybridMultilevel"/>
    <w:tmpl w:val="7382B34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76DB7031"/>
    <w:multiLevelType w:val="hybridMultilevel"/>
    <w:tmpl w:val="B7582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110A7A"/>
    <w:multiLevelType w:val="hybridMultilevel"/>
    <w:tmpl w:val="2FC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F1AEC"/>
    <w:multiLevelType w:val="hybridMultilevel"/>
    <w:tmpl w:val="1EC23F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8409F"/>
    <w:multiLevelType w:val="multilevel"/>
    <w:tmpl w:val="9B3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1"/>
  </w:num>
  <w:num w:numId="4">
    <w:abstractNumId w:val="5"/>
  </w:num>
  <w:num w:numId="5">
    <w:abstractNumId w:val="9"/>
  </w:num>
  <w:num w:numId="6">
    <w:abstractNumId w:val="10"/>
  </w:num>
  <w:num w:numId="7">
    <w:abstractNumId w:val="23"/>
  </w:num>
  <w:num w:numId="8">
    <w:abstractNumId w:val="22"/>
  </w:num>
  <w:num w:numId="9">
    <w:abstractNumId w:val="27"/>
  </w:num>
  <w:num w:numId="10">
    <w:abstractNumId w:val="30"/>
  </w:num>
  <w:num w:numId="11">
    <w:abstractNumId w:val="4"/>
  </w:num>
  <w:num w:numId="12">
    <w:abstractNumId w:val="31"/>
  </w:num>
  <w:num w:numId="13">
    <w:abstractNumId w:val="12"/>
  </w:num>
  <w:num w:numId="14">
    <w:abstractNumId w:val="25"/>
  </w:num>
  <w:num w:numId="15">
    <w:abstractNumId w:val="3"/>
  </w:num>
  <w:num w:numId="16">
    <w:abstractNumId w:val="14"/>
  </w:num>
  <w:num w:numId="17">
    <w:abstractNumId w:val="15"/>
  </w:num>
  <w:num w:numId="18">
    <w:abstractNumId w:val="17"/>
  </w:num>
  <w:num w:numId="19">
    <w:abstractNumId w:val="16"/>
  </w:num>
  <w:num w:numId="20">
    <w:abstractNumId w:val="0"/>
  </w:num>
  <w:num w:numId="21">
    <w:abstractNumId w:val="24"/>
  </w:num>
  <w:num w:numId="22">
    <w:abstractNumId w:val="20"/>
  </w:num>
  <w:num w:numId="23">
    <w:abstractNumId w:val="11"/>
  </w:num>
  <w:num w:numId="24">
    <w:abstractNumId w:val="19"/>
  </w:num>
  <w:num w:numId="25">
    <w:abstractNumId w:val="33"/>
  </w:num>
  <w:num w:numId="26">
    <w:abstractNumId w:val="8"/>
  </w:num>
  <w:num w:numId="27">
    <w:abstractNumId w:val="7"/>
  </w:num>
  <w:num w:numId="28">
    <w:abstractNumId w:val="6"/>
  </w:num>
  <w:num w:numId="29">
    <w:abstractNumId w:val="18"/>
  </w:num>
  <w:num w:numId="30">
    <w:abstractNumId w:val="26"/>
  </w:num>
  <w:num w:numId="31">
    <w:abstractNumId w:val="29"/>
  </w:num>
  <w:num w:numId="32">
    <w:abstractNumId w:val="13"/>
  </w:num>
  <w:num w:numId="33">
    <w:abstractNumId w:val="3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32BE9B-89F4-4230-80D1-EA70D42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qFormat/>
    <w:pPr>
      <w:jc w:val="center"/>
    </w:pPr>
    <w:rPr>
      <w:b/>
      <w:sz w:val="28"/>
      <w:szCs w:val="28"/>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Hyperlink">
    <w:name w:val="Hyperlink"/>
    <w:rPr>
      <w:color w:val="0563C1"/>
      <w:u w:val="single"/>
    </w:rPr>
  </w:style>
  <w:style w:type="paragraph" w:styleId="BodyText">
    <w:name w:val="Body Text"/>
    <w:basedOn w:val="Normal"/>
    <w:link w:val="BodyTextChar"/>
    <w:rPr>
      <w:rFonts w:ascii="Times New Roman" w:hAnsi="Times New Roman"/>
    </w:rPr>
  </w:style>
  <w:style w:type="character" w:customStyle="1" w:styleId="BodyTextChar">
    <w:name w:val="Body Text Char"/>
    <w:link w:val="BodyText"/>
    <w:rPr>
      <w:sz w:val="24"/>
      <w:szCs w:val="24"/>
      <w:lang w:eastAsia="en-US"/>
    </w:rPr>
  </w:style>
  <w:style w:type="paragraph" w:customStyle="1" w:styleId="paragraph">
    <w:name w:val="paragraph"/>
    <w:basedOn w:val="Normal"/>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itleChar">
    <w:name w:val="Title Char"/>
    <w:basedOn w:val="DefaultParagraphFont"/>
    <w:link w:val="Title"/>
    <w:rPr>
      <w:rFonts w:ascii="Arial" w:hAnsi="Arial"/>
      <w:b/>
      <w:sz w:val="28"/>
      <w:szCs w:val="28"/>
      <w:lang w:eastAsia="en-US"/>
    </w:rPr>
  </w:style>
  <w:style w:type="character" w:customStyle="1" w:styleId="xxcontentpasted0">
    <w:name w:val="x_x_contentpasted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276">
      <w:bodyDiv w:val="1"/>
      <w:marLeft w:val="0"/>
      <w:marRight w:val="0"/>
      <w:marTop w:val="0"/>
      <w:marBottom w:val="0"/>
      <w:divBdr>
        <w:top w:val="none" w:sz="0" w:space="0" w:color="auto"/>
        <w:left w:val="none" w:sz="0" w:space="0" w:color="auto"/>
        <w:bottom w:val="none" w:sz="0" w:space="0" w:color="auto"/>
        <w:right w:val="none" w:sz="0" w:space="0" w:color="auto"/>
      </w:divBdr>
    </w:div>
    <w:div w:id="160438232">
      <w:bodyDiv w:val="1"/>
      <w:marLeft w:val="0"/>
      <w:marRight w:val="0"/>
      <w:marTop w:val="0"/>
      <w:marBottom w:val="0"/>
      <w:divBdr>
        <w:top w:val="none" w:sz="0" w:space="0" w:color="auto"/>
        <w:left w:val="none" w:sz="0" w:space="0" w:color="auto"/>
        <w:bottom w:val="none" w:sz="0" w:space="0" w:color="auto"/>
        <w:right w:val="none" w:sz="0" w:space="0" w:color="auto"/>
      </w:divBdr>
    </w:div>
    <w:div w:id="646669729">
      <w:bodyDiv w:val="1"/>
      <w:marLeft w:val="0"/>
      <w:marRight w:val="0"/>
      <w:marTop w:val="0"/>
      <w:marBottom w:val="0"/>
      <w:divBdr>
        <w:top w:val="none" w:sz="0" w:space="0" w:color="auto"/>
        <w:left w:val="none" w:sz="0" w:space="0" w:color="auto"/>
        <w:bottom w:val="none" w:sz="0" w:space="0" w:color="auto"/>
        <w:right w:val="none" w:sz="0" w:space="0" w:color="auto"/>
      </w:divBdr>
    </w:div>
    <w:div w:id="708334044">
      <w:bodyDiv w:val="1"/>
      <w:marLeft w:val="0"/>
      <w:marRight w:val="0"/>
      <w:marTop w:val="0"/>
      <w:marBottom w:val="0"/>
      <w:divBdr>
        <w:top w:val="none" w:sz="0" w:space="0" w:color="auto"/>
        <w:left w:val="none" w:sz="0" w:space="0" w:color="auto"/>
        <w:bottom w:val="none" w:sz="0" w:space="0" w:color="auto"/>
        <w:right w:val="none" w:sz="0" w:space="0" w:color="auto"/>
      </w:divBdr>
    </w:div>
    <w:div w:id="1051343808">
      <w:bodyDiv w:val="1"/>
      <w:marLeft w:val="0"/>
      <w:marRight w:val="0"/>
      <w:marTop w:val="0"/>
      <w:marBottom w:val="0"/>
      <w:divBdr>
        <w:top w:val="none" w:sz="0" w:space="0" w:color="auto"/>
        <w:left w:val="none" w:sz="0" w:space="0" w:color="auto"/>
        <w:bottom w:val="none" w:sz="0" w:space="0" w:color="auto"/>
        <w:right w:val="none" w:sz="0" w:space="0" w:color="auto"/>
      </w:divBdr>
    </w:div>
    <w:div w:id="1561137142">
      <w:bodyDiv w:val="1"/>
      <w:marLeft w:val="0"/>
      <w:marRight w:val="0"/>
      <w:marTop w:val="0"/>
      <w:marBottom w:val="0"/>
      <w:divBdr>
        <w:top w:val="none" w:sz="0" w:space="0" w:color="auto"/>
        <w:left w:val="none" w:sz="0" w:space="0" w:color="auto"/>
        <w:bottom w:val="none" w:sz="0" w:space="0" w:color="auto"/>
        <w:right w:val="none" w:sz="0" w:space="0" w:color="auto"/>
      </w:divBdr>
    </w:div>
    <w:div w:id="2116095608">
      <w:bodyDiv w:val="1"/>
      <w:marLeft w:val="0"/>
      <w:marRight w:val="0"/>
      <w:marTop w:val="0"/>
      <w:marBottom w:val="0"/>
      <w:divBdr>
        <w:top w:val="none" w:sz="0" w:space="0" w:color="auto"/>
        <w:left w:val="none" w:sz="0" w:space="0" w:color="auto"/>
        <w:bottom w:val="none" w:sz="0" w:space="0" w:color="auto"/>
        <w:right w:val="none" w:sz="0" w:space="0" w:color="auto"/>
      </w:divBdr>
      <w:divsChild>
        <w:div w:id="858203915">
          <w:marLeft w:val="0"/>
          <w:marRight w:val="0"/>
          <w:marTop w:val="0"/>
          <w:marBottom w:val="0"/>
          <w:divBdr>
            <w:top w:val="none" w:sz="0" w:space="0" w:color="auto"/>
            <w:left w:val="none" w:sz="0" w:space="0" w:color="auto"/>
            <w:bottom w:val="none" w:sz="0" w:space="0" w:color="auto"/>
            <w:right w:val="none" w:sz="0" w:space="0" w:color="auto"/>
          </w:divBdr>
        </w:div>
        <w:div w:id="1982691835">
          <w:marLeft w:val="0"/>
          <w:marRight w:val="0"/>
          <w:marTop w:val="0"/>
          <w:marBottom w:val="0"/>
          <w:divBdr>
            <w:top w:val="none" w:sz="0" w:space="0" w:color="auto"/>
            <w:left w:val="none" w:sz="0" w:space="0" w:color="auto"/>
            <w:bottom w:val="none" w:sz="0" w:space="0" w:color="auto"/>
            <w:right w:val="none" w:sz="0" w:space="0" w:color="auto"/>
          </w:divBdr>
        </w:div>
        <w:div w:id="1152332432">
          <w:marLeft w:val="0"/>
          <w:marRight w:val="0"/>
          <w:marTop w:val="0"/>
          <w:marBottom w:val="0"/>
          <w:divBdr>
            <w:top w:val="none" w:sz="0" w:space="0" w:color="auto"/>
            <w:left w:val="none" w:sz="0" w:space="0" w:color="auto"/>
            <w:bottom w:val="none" w:sz="0" w:space="0" w:color="auto"/>
            <w:right w:val="none" w:sz="0" w:space="0" w:color="auto"/>
          </w:divBdr>
        </w:div>
        <w:div w:id="1226650715">
          <w:marLeft w:val="0"/>
          <w:marRight w:val="0"/>
          <w:marTop w:val="0"/>
          <w:marBottom w:val="0"/>
          <w:divBdr>
            <w:top w:val="none" w:sz="0" w:space="0" w:color="auto"/>
            <w:left w:val="none" w:sz="0" w:space="0" w:color="auto"/>
            <w:bottom w:val="none" w:sz="0" w:space="0" w:color="auto"/>
            <w:right w:val="none" w:sz="0" w:space="0" w:color="auto"/>
          </w:divBdr>
        </w:div>
        <w:div w:id="694042548">
          <w:marLeft w:val="0"/>
          <w:marRight w:val="0"/>
          <w:marTop w:val="0"/>
          <w:marBottom w:val="0"/>
          <w:divBdr>
            <w:top w:val="none" w:sz="0" w:space="0" w:color="auto"/>
            <w:left w:val="none" w:sz="0" w:space="0" w:color="auto"/>
            <w:bottom w:val="none" w:sz="0" w:space="0" w:color="auto"/>
            <w:right w:val="none" w:sz="0" w:space="0" w:color="auto"/>
          </w:divBdr>
        </w:div>
        <w:div w:id="93986116">
          <w:marLeft w:val="0"/>
          <w:marRight w:val="0"/>
          <w:marTop w:val="0"/>
          <w:marBottom w:val="0"/>
          <w:divBdr>
            <w:top w:val="none" w:sz="0" w:space="0" w:color="auto"/>
            <w:left w:val="none" w:sz="0" w:space="0" w:color="auto"/>
            <w:bottom w:val="none" w:sz="0" w:space="0" w:color="auto"/>
            <w:right w:val="none" w:sz="0" w:space="0" w:color="auto"/>
          </w:divBdr>
          <w:divsChild>
            <w:div w:id="1824467943">
              <w:marLeft w:val="0"/>
              <w:marRight w:val="0"/>
              <w:marTop w:val="0"/>
              <w:marBottom w:val="0"/>
              <w:divBdr>
                <w:top w:val="none" w:sz="0" w:space="0" w:color="auto"/>
                <w:left w:val="none" w:sz="0" w:space="0" w:color="auto"/>
                <w:bottom w:val="none" w:sz="0" w:space="0" w:color="auto"/>
                <w:right w:val="none" w:sz="0" w:space="0" w:color="auto"/>
              </w:divBdr>
            </w:div>
            <w:div w:id="1223296911">
              <w:marLeft w:val="0"/>
              <w:marRight w:val="0"/>
              <w:marTop w:val="0"/>
              <w:marBottom w:val="0"/>
              <w:divBdr>
                <w:top w:val="none" w:sz="0" w:space="0" w:color="auto"/>
                <w:left w:val="none" w:sz="0" w:space="0" w:color="auto"/>
                <w:bottom w:val="none" w:sz="0" w:space="0" w:color="auto"/>
                <w:right w:val="none" w:sz="0" w:space="0" w:color="auto"/>
              </w:divBdr>
            </w:div>
            <w:div w:id="1111977668">
              <w:marLeft w:val="0"/>
              <w:marRight w:val="0"/>
              <w:marTop w:val="0"/>
              <w:marBottom w:val="0"/>
              <w:divBdr>
                <w:top w:val="none" w:sz="0" w:space="0" w:color="auto"/>
                <w:left w:val="none" w:sz="0" w:space="0" w:color="auto"/>
                <w:bottom w:val="none" w:sz="0" w:space="0" w:color="auto"/>
                <w:right w:val="none" w:sz="0" w:space="0" w:color="auto"/>
              </w:divBdr>
            </w:div>
          </w:divsChild>
        </w:div>
        <w:div w:id="722292851">
          <w:marLeft w:val="0"/>
          <w:marRight w:val="0"/>
          <w:marTop w:val="0"/>
          <w:marBottom w:val="0"/>
          <w:divBdr>
            <w:top w:val="none" w:sz="0" w:space="0" w:color="auto"/>
            <w:left w:val="none" w:sz="0" w:space="0" w:color="auto"/>
            <w:bottom w:val="none" w:sz="0" w:space="0" w:color="auto"/>
            <w:right w:val="none" w:sz="0" w:space="0" w:color="auto"/>
          </w:divBdr>
          <w:divsChild>
            <w:div w:id="1777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308166-9b97-4b28-ad0d-e08838a1e7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28CC12E21964EBA3D4AF9B45A537A" ma:contentTypeVersion="16" ma:contentTypeDescription="Create a new document." ma:contentTypeScope="" ma:versionID="ca6083624ecacac323142258bd79eab5">
  <xsd:schema xmlns:xsd="http://www.w3.org/2001/XMLSchema" xmlns:xs="http://www.w3.org/2001/XMLSchema" xmlns:p="http://schemas.microsoft.com/office/2006/metadata/properties" xmlns:ns3="d0308166-9b97-4b28-ad0d-e08838a1e729" xmlns:ns4="d95845e4-3d6e-4ebf-a9bb-5e1cf64ef1f1" targetNamespace="http://schemas.microsoft.com/office/2006/metadata/properties" ma:root="true" ma:fieldsID="2d5f445375b0e969cf2b6cdddd6c5c15" ns3:_="" ns4:_="">
    <xsd:import namespace="d0308166-9b97-4b28-ad0d-e08838a1e729"/>
    <xsd:import namespace="d95845e4-3d6e-4ebf-a9bb-5e1cf64ef1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08166-9b97-4b28-ad0d-e08838a1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845e4-3d6e-4ebf-a9bb-5e1cf64ef1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252F-6F29-4702-9341-283E0AE0BC9C}">
  <ds:schemaRefs>
    <ds:schemaRef ds:uri="http://schemas.microsoft.com/office/2006/metadata/properties"/>
    <ds:schemaRef ds:uri="http://schemas.microsoft.com/office/infopath/2007/PartnerControls"/>
    <ds:schemaRef ds:uri="d0308166-9b97-4b28-ad0d-e08838a1e729"/>
  </ds:schemaRefs>
</ds:datastoreItem>
</file>

<file path=customXml/itemProps2.xml><?xml version="1.0" encoding="utf-8"?>
<ds:datastoreItem xmlns:ds="http://schemas.openxmlformats.org/officeDocument/2006/customXml" ds:itemID="{06B8AAFD-5143-4ED6-BC54-3BE959C0A16B}">
  <ds:schemaRefs>
    <ds:schemaRef ds:uri="http://schemas.microsoft.com/sharepoint/v3/contenttype/forms"/>
  </ds:schemaRefs>
</ds:datastoreItem>
</file>

<file path=customXml/itemProps3.xml><?xml version="1.0" encoding="utf-8"?>
<ds:datastoreItem xmlns:ds="http://schemas.openxmlformats.org/officeDocument/2006/customXml" ds:itemID="{938CF25B-725C-43DF-BB6D-DB732593D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08166-9b97-4b28-ad0d-e08838a1e729"/>
    <ds:schemaRef ds:uri="d95845e4-3d6e-4ebf-a9bb-5e1cf64e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vt:lpstr>
    </vt:vector>
  </TitlesOfParts>
  <Company>BCRCS</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lhouldcroft-flint</dc:creator>
  <cp:keywords/>
  <cp:lastModifiedBy>Mr G Hetherton</cp:lastModifiedBy>
  <cp:revision>2</cp:revision>
  <cp:lastPrinted>2023-09-29T13:53:00Z</cp:lastPrinted>
  <dcterms:created xsi:type="dcterms:W3CDTF">2023-10-02T14:12:00Z</dcterms:created>
  <dcterms:modified xsi:type="dcterms:W3CDTF">2023-10-02T14:12:00Z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0x010100F4028CC12E21964EBA3D4AF9B45A537A</vt:lpwstr>
  </property>
</Properties>
</file>