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673A2E2E"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C01DA8">
        <w:rPr>
          <w:rFonts w:asciiTheme="majorHAnsi" w:hAnsiTheme="majorHAnsi" w:cstheme="majorHAnsi"/>
          <w:b/>
          <w:color w:val="002060"/>
          <w:sz w:val="36"/>
          <w:szCs w:val="36"/>
        </w:rPr>
        <w:t>Physical Education</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6EB52E22" w:rsidR="003A0F1D" w:rsidRPr="00A71B1A" w:rsidRDefault="00C229F6"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C01DA8">
              <w:rPr>
                <w:rFonts w:asciiTheme="majorHAnsi" w:hAnsiTheme="majorHAnsi" w:cstheme="majorHAnsi"/>
                <w:color w:val="002060"/>
              </w:rPr>
              <w:t>Physical Education</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1A9155ED"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C01DA8">
              <w:rPr>
                <w:rFonts w:asciiTheme="majorHAnsi" w:hAnsiTheme="majorHAnsi"/>
                <w:color w:val="1F3864" w:themeColor="accent5" w:themeShade="80"/>
                <w:spacing w:val="-2"/>
              </w:rPr>
              <w:t>Physical Education</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60AA2871"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C01DA8">
              <w:rPr>
                <w:rFonts w:asciiTheme="majorHAnsi" w:hAnsiTheme="majorHAnsi"/>
                <w:color w:val="1F3864" w:themeColor="accent5" w:themeShade="80"/>
                <w:spacing w:val="-2"/>
              </w:rPr>
              <w:t>Physical Education</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3E641084"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C01DA8">
              <w:rPr>
                <w:rFonts w:asciiTheme="majorHAnsi" w:hAnsiTheme="majorHAnsi"/>
                <w:color w:val="1F3864" w:themeColor="accent5" w:themeShade="80"/>
              </w:rPr>
              <w:t>Physical Education.</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9089"/>
            </w:tblGrid>
            <w:tr w:rsidR="00D650B4" w:rsidRPr="00E77967" w14:paraId="3D87B206" w14:textId="77777777" w:rsidTr="006A514B">
              <w:trPr>
                <w:trHeight w:val="1092"/>
              </w:trPr>
              <w:tc>
                <w:tcPr>
                  <w:tcW w:w="0" w:type="auto"/>
                </w:tcPr>
                <w:p w14:paraId="2B15A558" w14:textId="21521046"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An honours degree (or equivalent) in </w:t>
                  </w:r>
                  <w:r w:rsidR="007664C5">
                    <w:rPr>
                      <w:rFonts w:asciiTheme="majorHAnsi" w:hAnsiTheme="majorHAnsi" w:cstheme="majorHAnsi"/>
                      <w:color w:val="002060"/>
                    </w:rPr>
                    <w:t xml:space="preserve">Physical Education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048B6B9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7664C5">
                    <w:rPr>
                      <w:rFonts w:asciiTheme="majorHAnsi" w:hAnsiTheme="majorHAnsi" w:cstheme="majorHAnsi"/>
                      <w:color w:val="002060"/>
                    </w:rPr>
                    <w:t>Physical Education</w:t>
                  </w:r>
                  <w:r w:rsidRPr="00D650B4">
                    <w:rPr>
                      <w:rFonts w:asciiTheme="majorHAnsi" w:hAnsiTheme="majorHAnsi" w:cstheme="majorHAnsi"/>
                      <w:color w:val="002060"/>
                    </w:rPr>
                    <w:t xml:space="preserve"> as a classroom teacher</w:t>
                  </w:r>
                </w:p>
                <w:p w14:paraId="7A806E43" w14:textId="104A1D1A"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7664C5">
                    <w:rPr>
                      <w:rFonts w:asciiTheme="majorHAnsi" w:hAnsiTheme="majorHAnsi" w:cstheme="majorHAnsi"/>
                      <w:color w:val="002060"/>
                    </w:rPr>
                    <w:t>Physical Education</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8862545"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a </w:t>
            </w:r>
            <w:r w:rsidR="007664C5">
              <w:rPr>
                <w:rFonts w:asciiTheme="majorHAnsi" w:hAnsiTheme="majorHAnsi" w:cstheme="majorHAnsi"/>
                <w:color w:val="002060"/>
              </w:rPr>
              <w:t>physical education</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0106E560" w:rsidR="00D650B4" w:rsidRDefault="00577AB2"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Physical Education</w:t>
            </w:r>
            <w:r w:rsidR="00D650B4">
              <w:rPr>
                <w:rFonts w:asciiTheme="majorHAnsi" w:eastAsia="Times New Roman" w:hAnsiTheme="majorHAnsi" w:cstheme="majorHAnsi"/>
                <w:color w:val="1F4E79" w:themeColor="accent1" w:themeShade="80"/>
              </w:rPr>
              <w:t xml:space="preserve"> specialism</w:t>
            </w:r>
          </w:p>
          <w:p w14:paraId="75F65A06" w14:textId="436AA6D5"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577AB2">
              <w:rPr>
                <w:rFonts w:asciiTheme="majorHAnsi" w:eastAsia="Times New Roman" w:hAnsiTheme="majorHAnsi" w:cstheme="majorHAnsi"/>
                <w:color w:val="1F4E79" w:themeColor="accent1" w:themeShade="80"/>
              </w:rPr>
              <w:t>Physical Education</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A1B50"/>
    <w:rsid w:val="003139C9"/>
    <w:rsid w:val="003A0F1D"/>
    <w:rsid w:val="003D753F"/>
    <w:rsid w:val="003F0CEA"/>
    <w:rsid w:val="00450F45"/>
    <w:rsid w:val="00537719"/>
    <w:rsid w:val="0057454C"/>
    <w:rsid w:val="00577AB2"/>
    <w:rsid w:val="0058762F"/>
    <w:rsid w:val="005C2FBE"/>
    <w:rsid w:val="006502ED"/>
    <w:rsid w:val="00694602"/>
    <w:rsid w:val="006965FC"/>
    <w:rsid w:val="006F2F24"/>
    <w:rsid w:val="007664C5"/>
    <w:rsid w:val="00883ED4"/>
    <w:rsid w:val="008A6846"/>
    <w:rsid w:val="00A103AC"/>
    <w:rsid w:val="00A227D8"/>
    <w:rsid w:val="00AF5BF8"/>
    <w:rsid w:val="00B35804"/>
    <w:rsid w:val="00B51942"/>
    <w:rsid w:val="00B52E30"/>
    <w:rsid w:val="00B77601"/>
    <w:rsid w:val="00BA5BA2"/>
    <w:rsid w:val="00C01DA8"/>
    <w:rsid w:val="00C229F6"/>
    <w:rsid w:val="00CD7BC4"/>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dbe81b3102efe3c283ae5796704bc865">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8ea94095d01e2fda4a65bb4f653277b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7405D-77BC-4DA5-B77C-2A3A7A61E181}">
  <ds:schemaRefs>
    <ds:schemaRef ds:uri="http://schemas.microsoft.com/office/2006/documentManagement/types"/>
    <ds:schemaRef ds:uri="http://www.w3.org/XML/1998/namespace"/>
    <ds:schemaRef ds:uri="http://purl.org/dc/elements/1.1/"/>
    <ds:schemaRef ds:uri="http://purl.org/dc/terms/"/>
    <ds:schemaRef ds:uri="bc11d83e-f3cc-40a3-b40f-75707fc3bb1d"/>
    <ds:schemaRef ds:uri="http://schemas.microsoft.com/office/infopath/2007/PartnerControls"/>
    <ds:schemaRef ds:uri="http://schemas.openxmlformats.org/package/2006/metadata/core-properties"/>
    <ds:schemaRef ds:uri="cbfbd050-352e-42e1-8713-645b0955f10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1BDBE9-60CC-4494-A01E-EF011ED2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A7D5F-98B1-4A17-92DC-1BE79C63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8162</Characters>
  <Application>Microsoft Office Word</Application>
  <DocSecurity>6</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2020-06-10T09:11:00Z</cp:lastPrinted>
  <dcterms:created xsi:type="dcterms:W3CDTF">2024-09-18T12:31:00Z</dcterms:created>
  <dcterms:modified xsi:type="dcterms:W3CDTF">2024-09-18T12:31:00Z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