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2BAD765F" w:rsidR="00512FFE" w:rsidRPr="00903DEE" w:rsidRDefault="00075DF5" w:rsidP="00743758">
      <w:pPr>
        <w:rPr>
          <w:rFonts w:cstheme="minorHAnsi"/>
          <w:sz w:val="48"/>
          <w:szCs w:val="48"/>
        </w:rPr>
      </w:pPr>
      <w:r>
        <w:rPr>
          <w:rFonts w:cstheme="minorHAnsi"/>
          <w:sz w:val="48"/>
          <w:szCs w:val="48"/>
        </w:rPr>
        <w:t>Teacher of Physical Education</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19085433" w14:textId="77777777" w:rsidR="00075DF5" w:rsidRPr="00075DF5" w:rsidRDefault="00075DF5" w:rsidP="00075DF5">
      <w:pPr>
        <w:spacing w:after="0" w:line="240" w:lineRule="auto"/>
        <w:jc w:val="both"/>
        <w:rPr>
          <w:rFonts w:ascii="Calibri" w:eastAsia="Aptos" w:hAnsi="Calibri" w:cs="Calibri"/>
          <w:b/>
          <w:bCs/>
          <w:lang w:eastAsia="en-GB"/>
        </w:rPr>
      </w:pPr>
      <w:r w:rsidRPr="00075DF5">
        <w:rPr>
          <w:rFonts w:ascii="Calibri" w:eastAsia="Aptos" w:hAnsi="Calibri" w:cs="Calibri"/>
          <w:b/>
          <w:bCs/>
          <w:lang w:eastAsia="en-GB"/>
        </w:rPr>
        <w:t>TEACHER OF PHYSICAL EDUCATION</w:t>
      </w:r>
    </w:p>
    <w:p w14:paraId="6F92DFD2" w14:textId="77777777" w:rsidR="00075DF5" w:rsidRPr="00075DF5" w:rsidRDefault="00075DF5" w:rsidP="00075DF5">
      <w:pPr>
        <w:spacing w:after="0" w:line="240" w:lineRule="auto"/>
        <w:jc w:val="both"/>
        <w:rPr>
          <w:rFonts w:ascii="Calibri" w:eastAsia="Aptos" w:hAnsi="Calibri" w:cs="Calibri"/>
          <w:lang w:eastAsia="en-GB"/>
        </w:rPr>
      </w:pPr>
    </w:p>
    <w:p w14:paraId="70A17D70" w14:textId="77777777" w:rsidR="00075DF5" w:rsidRPr="00075DF5" w:rsidRDefault="00075DF5" w:rsidP="00075DF5">
      <w:pPr>
        <w:spacing w:after="0" w:line="240" w:lineRule="auto"/>
        <w:rPr>
          <w:rFonts w:ascii="Calibri" w:eastAsia="Times New Roman" w:hAnsi="Calibri" w:cs="Calibri"/>
          <w:bCs/>
          <w:lang w:eastAsia="en-GB"/>
        </w:rPr>
      </w:pPr>
      <w:bookmarkStart w:id="0" w:name="_Hlk190071198"/>
      <w:r w:rsidRPr="00075DF5">
        <w:rPr>
          <w:rFonts w:ascii="Calibri" w:eastAsia="Times New Roman" w:hAnsi="Calibri" w:cs="Calibri"/>
          <w:b/>
          <w:lang w:eastAsia="en-GB"/>
        </w:rPr>
        <w:t>Salary:</w:t>
      </w:r>
      <w:r w:rsidRPr="00075DF5">
        <w:rPr>
          <w:rFonts w:ascii="Calibri" w:eastAsia="Times New Roman" w:hAnsi="Calibri" w:cs="Calibri"/>
          <w:bCs/>
          <w:lang w:eastAsia="en-GB"/>
        </w:rPr>
        <w:t xml:space="preserve"> Pay range from Main – Upper Pay Scale (£32,916 – £51,048) per annum according to the Academy Pay Policy.</w:t>
      </w:r>
    </w:p>
    <w:p w14:paraId="7E561F27" w14:textId="77777777" w:rsidR="00075DF5" w:rsidRPr="00075DF5" w:rsidRDefault="00075DF5" w:rsidP="00075DF5">
      <w:pPr>
        <w:spacing w:after="0" w:line="240" w:lineRule="auto"/>
        <w:rPr>
          <w:rFonts w:ascii="Calibri" w:eastAsia="Times New Roman" w:hAnsi="Calibri" w:cs="Calibri"/>
          <w:bCs/>
          <w:i/>
          <w:iCs/>
          <w:lang w:eastAsia="en-GB"/>
        </w:rPr>
      </w:pPr>
      <w:r w:rsidRPr="00075DF5">
        <w:rPr>
          <w:rFonts w:ascii="Calibri" w:eastAsia="Times New Roman" w:hAnsi="Calibri" w:cs="Calibri"/>
          <w:b/>
          <w:lang w:eastAsia="en-GB"/>
        </w:rPr>
        <w:t xml:space="preserve">Hours of work: </w:t>
      </w:r>
      <w:r w:rsidRPr="00075DF5">
        <w:rPr>
          <w:rFonts w:ascii="Calibri" w:eastAsia="Times New Roman" w:hAnsi="Calibri" w:cs="Calibri"/>
          <w:lang w:eastAsia="en-GB"/>
        </w:rPr>
        <w:t xml:space="preserve">32.5 hours per week, Monday to Friday </w:t>
      </w:r>
    </w:p>
    <w:p w14:paraId="48F629E8" w14:textId="77777777" w:rsidR="00075DF5" w:rsidRPr="00075DF5" w:rsidRDefault="00075DF5" w:rsidP="00075DF5">
      <w:pPr>
        <w:spacing w:after="0" w:line="240" w:lineRule="auto"/>
        <w:rPr>
          <w:rFonts w:ascii="Calibri" w:eastAsia="Times New Roman" w:hAnsi="Calibri" w:cs="Calibri"/>
          <w:bCs/>
          <w:lang w:eastAsia="en-GB"/>
        </w:rPr>
      </w:pPr>
      <w:r w:rsidRPr="00075DF5">
        <w:rPr>
          <w:rFonts w:ascii="Calibri" w:eastAsia="Times New Roman" w:hAnsi="Calibri" w:cs="Calibri"/>
          <w:b/>
          <w:lang w:eastAsia="en-GB"/>
        </w:rPr>
        <w:t>Contract:</w:t>
      </w:r>
      <w:r w:rsidRPr="00075DF5">
        <w:rPr>
          <w:rFonts w:ascii="Calibri" w:eastAsia="Times New Roman" w:hAnsi="Calibri" w:cs="Calibri"/>
          <w:bCs/>
          <w:lang w:eastAsia="en-GB"/>
        </w:rPr>
        <w:t xml:space="preserve"> Permanent, Full Time (Must be open to teaching across other subjects)</w:t>
      </w:r>
    </w:p>
    <w:p w14:paraId="26B2842C" w14:textId="77777777" w:rsidR="00075DF5" w:rsidRPr="00075DF5" w:rsidRDefault="00075DF5" w:rsidP="00075DF5">
      <w:pPr>
        <w:spacing w:after="0" w:line="240" w:lineRule="auto"/>
        <w:rPr>
          <w:rFonts w:ascii="Calibri" w:eastAsia="Times New Roman" w:hAnsi="Calibri" w:cs="Calibri"/>
          <w:bCs/>
          <w:i/>
          <w:iCs/>
          <w:lang w:eastAsia="en-GB"/>
        </w:rPr>
      </w:pPr>
      <w:r w:rsidRPr="00075DF5">
        <w:rPr>
          <w:rFonts w:ascii="Calibri" w:eastAsia="Times New Roman" w:hAnsi="Calibri" w:cs="Calibri"/>
          <w:b/>
          <w:lang w:eastAsia="en-GB"/>
        </w:rPr>
        <w:t>Responsible to:</w:t>
      </w:r>
      <w:r w:rsidRPr="00075DF5">
        <w:rPr>
          <w:rFonts w:ascii="Calibri" w:eastAsia="Times New Roman" w:hAnsi="Calibri" w:cs="Calibri"/>
          <w:bCs/>
          <w:lang w:eastAsia="en-GB"/>
        </w:rPr>
        <w:t xml:space="preserve"> </w:t>
      </w:r>
      <w:r w:rsidRPr="00075DF5">
        <w:rPr>
          <w:rFonts w:ascii="Calibri" w:eastAsia="Times New Roman" w:hAnsi="Calibri" w:cs="Calibri"/>
          <w:bCs/>
          <w:iCs/>
          <w:lang w:eastAsia="en-GB"/>
        </w:rPr>
        <w:t xml:space="preserve">Head of Faculty – Assistant Headteacher </w:t>
      </w:r>
    </w:p>
    <w:p w14:paraId="29854C20" w14:textId="77777777" w:rsidR="00075DF5" w:rsidRPr="00075DF5" w:rsidRDefault="00075DF5" w:rsidP="00075DF5">
      <w:pPr>
        <w:spacing w:after="0" w:line="240" w:lineRule="auto"/>
        <w:rPr>
          <w:rFonts w:ascii="Calibri" w:eastAsia="Times New Roman" w:hAnsi="Calibri" w:cs="Calibri"/>
          <w:bCs/>
          <w:i/>
          <w:iCs/>
          <w:lang w:eastAsia="en-GB"/>
        </w:rPr>
      </w:pPr>
      <w:r w:rsidRPr="00075DF5">
        <w:rPr>
          <w:rFonts w:ascii="Calibri" w:eastAsia="Times New Roman" w:hAnsi="Calibri" w:cs="Calibri"/>
          <w:b/>
          <w:lang w:eastAsia="en-GB"/>
        </w:rPr>
        <w:t xml:space="preserve">Start Date: </w:t>
      </w:r>
      <w:r w:rsidRPr="00075DF5">
        <w:rPr>
          <w:rFonts w:ascii="Calibri" w:eastAsia="Times New Roman" w:hAnsi="Calibri" w:cs="Calibri"/>
          <w:lang w:eastAsia="en-GB"/>
        </w:rPr>
        <w:t>September 2026</w:t>
      </w:r>
    </w:p>
    <w:bookmarkEnd w:id="0"/>
    <w:p w14:paraId="79C62DAE" w14:textId="77777777" w:rsidR="00075DF5" w:rsidRPr="00075DF5" w:rsidRDefault="00075DF5" w:rsidP="00075DF5">
      <w:pPr>
        <w:spacing w:after="0" w:line="240" w:lineRule="auto"/>
        <w:jc w:val="both"/>
        <w:rPr>
          <w:rFonts w:ascii="Calibri" w:eastAsia="Aptos" w:hAnsi="Calibri" w:cs="Calibri"/>
          <w:sz w:val="6"/>
          <w:szCs w:val="6"/>
          <w:lang w:eastAsia="en-GB"/>
        </w:rPr>
      </w:pPr>
    </w:p>
    <w:p w14:paraId="42D3660B" w14:textId="77777777" w:rsidR="00075DF5" w:rsidRPr="00075DF5" w:rsidRDefault="00075DF5" w:rsidP="00075DF5">
      <w:pPr>
        <w:spacing w:after="80" w:line="278" w:lineRule="auto"/>
        <w:jc w:val="both"/>
        <w:rPr>
          <w:rFonts w:ascii="Calibri" w:eastAsia="Aptos" w:hAnsi="Calibri" w:cs="Calibri"/>
          <w:lang w:eastAsia="en-GB"/>
        </w:rPr>
      </w:pPr>
      <w:bookmarkStart w:id="1" w:name="_Hlk147736604"/>
      <w:r w:rsidRPr="00075DF5">
        <w:rPr>
          <w:rFonts w:ascii="Calibri" w:eastAsia="Aptos" w:hAnsi="Calibri" w:cs="Calibri"/>
          <w:lang w:eastAsia="en-GB"/>
        </w:rPr>
        <w:t xml:space="preserve">The Friary School part of the </w:t>
      </w:r>
      <w:proofErr w:type="spellStart"/>
      <w:r w:rsidRPr="00075DF5">
        <w:rPr>
          <w:rFonts w:ascii="Calibri" w:eastAsia="Aptos" w:hAnsi="Calibri" w:cs="Calibri"/>
          <w:lang w:eastAsia="en-GB"/>
        </w:rPr>
        <w:t>Primitas</w:t>
      </w:r>
      <w:proofErr w:type="spellEnd"/>
      <w:r w:rsidRPr="00075DF5">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075DF5">
          <w:rPr>
            <w:rFonts w:ascii="Calibri" w:eastAsia="Aptos" w:hAnsi="Calibri" w:cs="Calibri"/>
            <w:color w:val="085296"/>
            <w:u w:val="single"/>
            <w:lang w:eastAsia="en-GB"/>
          </w:rPr>
          <w:t>OFSTED Inspection Report</w:t>
        </w:r>
      </w:hyperlink>
      <w:r w:rsidRPr="00075DF5">
        <w:rPr>
          <w:rFonts w:ascii="Calibri" w:eastAsia="Aptos" w:hAnsi="Calibri" w:cs="Calibri"/>
          <w:lang w:eastAsia="en-GB"/>
        </w:rPr>
        <w:t xml:space="preserve"> (March 2024) stated that: </w:t>
      </w:r>
    </w:p>
    <w:p w14:paraId="42FE9B53"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 xml:space="preserve">*A culture of high expectations permeates throughout, and pupils rise to this high bar willingly. </w:t>
      </w:r>
    </w:p>
    <w:p w14:paraId="3C998523"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*Pupils achieve extremely well.</w:t>
      </w:r>
    </w:p>
    <w:p w14:paraId="68955C37"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*Pupils’ behaviour and conduct are excellent.</w:t>
      </w:r>
    </w:p>
    <w:p w14:paraId="44FF9547" w14:textId="77777777" w:rsidR="00075DF5" w:rsidRPr="00075DF5" w:rsidRDefault="00075DF5" w:rsidP="00075DF5">
      <w:pPr>
        <w:spacing w:after="0" w:line="278" w:lineRule="auto"/>
        <w:ind w:firstLine="360"/>
        <w:jc w:val="both"/>
        <w:rPr>
          <w:rFonts w:ascii="Calibri" w:eastAsia="Aptos" w:hAnsi="Calibri" w:cs="Calibri"/>
          <w:lang w:eastAsia="en-GB"/>
        </w:rPr>
      </w:pPr>
      <w:r w:rsidRPr="00075DF5">
        <w:rPr>
          <w:rFonts w:ascii="Calibri" w:eastAsia="Aptos" w:hAnsi="Calibri" w:cs="Calibri"/>
          <w:lang w:eastAsia="en-GB"/>
        </w:rPr>
        <w:t xml:space="preserve">*Parents and carers are </w:t>
      </w:r>
      <w:hyperlink r:id="rId10" w:history="1">
        <w:r w:rsidRPr="00075DF5">
          <w:rPr>
            <w:rFonts w:ascii="Calibri" w:eastAsia="Aptos" w:hAnsi="Calibri" w:cs="Calibri"/>
            <w:color w:val="085296"/>
            <w:u w:val="single"/>
            <w:lang w:eastAsia="en-GB"/>
          </w:rPr>
          <w:t>overwhelmingly positive</w:t>
        </w:r>
      </w:hyperlink>
      <w:r w:rsidRPr="00075DF5">
        <w:rPr>
          <w:rFonts w:ascii="Calibri" w:eastAsia="Aptos" w:hAnsi="Calibri" w:cs="Calibri"/>
          <w:lang w:eastAsia="en-GB"/>
        </w:rPr>
        <w:t xml:space="preserve"> about the school.</w:t>
      </w:r>
    </w:p>
    <w:p w14:paraId="1C0EA2D5"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*The school’s curriculum is highly ambitious.</w:t>
      </w:r>
    </w:p>
    <w:p w14:paraId="78897747"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*Pupils with special educational needs and/or disabilities (SEND) are supported extremely well.</w:t>
      </w:r>
    </w:p>
    <w:p w14:paraId="4CB1DDF2"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*The wider development of pupils is exceptionally strong.</w:t>
      </w:r>
    </w:p>
    <w:p w14:paraId="5E9C7031"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*The school’s careers programme is rich and varied.</w:t>
      </w:r>
    </w:p>
    <w:p w14:paraId="3288FB7E" w14:textId="77777777" w:rsidR="00075DF5" w:rsidRPr="00075DF5" w:rsidRDefault="00075DF5" w:rsidP="00075DF5">
      <w:pPr>
        <w:spacing w:after="0" w:line="278" w:lineRule="auto"/>
        <w:ind w:left="720" w:hanging="360"/>
        <w:jc w:val="both"/>
        <w:rPr>
          <w:rFonts w:ascii="Calibri" w:eastAsia="Aptos" w:hAnsi="Calibri" w:cs="Calibri"/>
          <w:lang w:eastAsia="en-GB"/>
        </w:rPr>
      </w:pPr>
      <w:r w:rsidRPr="00075DF5">
        <w:rPr>
          <w:rFonts w:ascii="Calibri" w:eastAsia="Aptos" w:hAnsi="Calibri" w:cs="Calibri"/>
          <w:lang w:eastAsia="en-GB"/>
        </w:rPr>
        <w:t>*There is a plethora of opportunities for pupils to extend their learning beyond the classroom.</w:t>
      </w:r>
    </w:p>
    <w:p w14:paraId="4C24D5A2" w14:textId="77777777" w:rsidR="00075DF5" w:rsidRPr="00075DF5" w:rsidRDefault="00075DF5" w:rsidP="00075DF5">
      <w:pPr>
        <w:spacing w:after="80" w:line="278" w:lineRule="auto"/>
        <w:ind w:left="720" w:hanging="360"/>
        <w:jc w:val="both"/>
        <w:rPr>
          <w:rFonts w:ascii="Calibri" w:eastAsia="Aptos" w:hAnsi="Calibri" w:cs="Calibri"/>
          <w:lang w:eastAsia="en-GB"/>
        </w:rPr>
      </w:pPr>
      <w:r w:rsidRPr="00075DF5">
        <w:rPr>
          <w:rFonts w:ascii="Calibri" w:eastAsia="Aptos" w:hAnsi="Calibri" w:cs="Calibri"/>
          <w:lang w:eastAsia="en-GB"/>
        </w:rPr>
        <w:t xml:space="preserve">*The local governing body members have a strong understanding of the school. </w:t>
      </w:r>
    </w:p>
    <w:p w14:paraId="3C247EEB"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5F25D9C2"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075DF5">
        <w:rPr>
          <w:rFonts w:ascii="Calibri" w:eastAsia="Aptos" w:hAnsi="Calibri" w:cs="Calibri"/>
          <w:lang w:eastAsia="en-GB"/>
        </w:rPr>
        <w:t>Being located in</w:t>
      </w:r>
      <w:proofErr w:type="gramEnd"/>
      <w:r w:rsidRPr="00075DF5">
        <w:rPr>
          <w:rFonts w:ascii="Calibri" w:eastAsia="Aptos" w:hAnsi="Calibri" w:cs="Calibri"/>
          <w:lang w:eastAsia="en-GB"/>
        </w:rPr>
        <w:t xml:space="preserve"> the heart of the country it benefits from excellent local and national transport links.</w:t>
      </w:r>
    </w:p>
    <w:p w14:paraId="4A1FBFE4"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We are seeking to appoint a committed, proactive, enthusiastic, and highly motivated PE Teacher to join our dedicated teaching team, who is open to teaching across other subjects within the school where appropriate. The successful candidate will be responsible for delivering engaging and inclusive PE lessons across a range of age groups, promoting physical fitness, teamwork, and a lifelong love of sport. We are looking for someone with a passion for physical education, strong classroom and behaviour management skills, and a commitment to supporting the physical, social, and personal development of every student.</w:t>
      </w:r>
    </w:p>
    <w:p w14:paraId="3F11748E"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You will be required to provide proof of eligibility to work in the UK, evidence of your qualifications and suitable references.</w:t>
      </w:r>
    </w:p>
    <w:p w14:paraId="1BB1468D"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b/>
          <w:bCs/>
          <w:lang w:eastAsia="en-GB"/>
        </w:rPr>
        <w:t>CLOSING DATE</w:t>
      </w:r>
      <w:r w:rsidRPr="00075DF5">
        <w:rPr>
          <w:rFonts w:ascii="Calibri" w:eastAsia="Aptos" w:hAnsi="Calibri" w:cs="Calibri"/>
          <w:lang w:eastAsia="en-GB"/>
        </w:rPr>
        <w:t>: Tuesday 5</w:t>
      </w:r>
      <w:r w:rsidRPr="00075DF5">
        <w:rPr>
          <w:rFonts w:ascii="Calibri" w:eastAsia="Aptos" w:hAnsi="Calibri" w:cs="Calibri"/>
          <w:vertAlign w:val="superscript"/>
          <w:lang w:eastAsia="en-GB"/>
        </w:rPr>
        <w:t>th</w:t>
      </w:r>
      <w:r w:rsidRPr="00075DF5">
        <w:rPr>
          <w:rFonts w:ascii="Calibri" w:eastAsia="Aptos" w:hAnsi="Calibri" w:cs="Calibri"/>
          <w:lang w:eastAsia="en-GB"/>
        </w:rPr>
        <w:t xml:space="preserve"> May 2026 at 12noon.</w:t>
      </w:r>
    </w:p>
    <w:p w14:paraId="7AEC5654"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075DF5">
          <w:rPr>
            <w:rFonts w:ascii="Calibri" w:eastAsia="Aptos" w:hAnsi="Calibri" w:cs="Calibri"/>
            <w:color w:val="0000FF"/>
            <w:u w:val="single"/>
            <w:lang w:eastAsia="en-GB"/>
          </w:rPr>
          <w:t>applications@friaryschool.co.uk</w:t>
        </w:r>
      </w:hyperlink>
      <w:r w:rsidRPr="00075DF5">
        <w:rPr>
          <w:rFonts w:ascii="Calibri" w:eastAsia="Aptos" w:hAnsi="Calibri" w:cs="Calibri"/>
          <w:lang w:eastAsia="en-GB"/>
        </w:rPr>
        <w:t xml:space="preserve">    </w:t>
      </w:r>
    </w:p>
    <w:p w14:paraId="57B8BCD1" w14:textId="77777777" w:rsidR="00075DF5" w:rsidRPr="00075DF5" w:rsidRDefault="00075DF5" w:rsidP="00075DF5">
      <w:pPr>
        <w:spacing w:after="80" w:line="278" w:lineRule="auto"/>
        <w:jc w:val="both"/>
        <w:rPr>
          <w:rFonts w:ascii="Calibri" w:eastAsia="Aptos" w:hAnsi="Calibri" w:cs="Calibri"/>
          <w:lang w:eastAsia="en-GB"/>
        </w:rPr>
      </w:pPr>
      <w:r w:rsidRPr="00075DF5">
        <w:rPr>
          <w:rFonts w:ascii="Calibri" w:eastAsia="Aptos" w:hAnsi="Calibri" w:cs="Calibri"/>
          <w:lang w:eastAsia="en-GB"/>
        </w:rPr>
        <w:t xml:space="preserve">CVs will not be accepted. For further information regarding our school and </w:t>
      </w:r>
      <w:proofErr w:type="spellStart"/>
      <w:r w:rsidRPr="00075DF5">
        <w:rPr>
          <w:rFonts w:ascii="Calibri" w:eastAsia="Aptos" w:hAnsi="Calibri" w:cs="Calibri"/>
          <w:lang w:eastAsia="en-GB"/>
        </w:rPr>
        <w:t>Primitas</w:t>
      </w:r>
      <w:proofErr w:type="spellEnd"/>
      <w:r w:rsidRPr="00075DF5">
        <w:rPr>
          <w:rFonts w:ascii="Calibri" w:eastAsia="Aptos" w:hAnsi="Calibri" w:cs="Calibri"/>
          <w:lang w:eastAsia="en-GB"/>
        </w:rPr>
        <w:t xml:space="preserve"> Learning Partnership, please visit our website at: </w:t>
      </w:r>
      <w:hyperlink r:id="rId12" w:history="1">
        <w:r w:rsidRPr="00075DF5">
          <w:rPr>
            <w:rFonts w:ascii="Calibri" w:eastAsia="Aptos" w:hAnsi="Calibri" w:cs="Calibri"/>
            <w:color w:val="0000FF"/>
            <w:u w:val="single"/>
            <w:lang w:eastAsia="en-GB"/>
          </w:rPr>
          <w:t>https://friaryschool.co.uk/vacancies/</w:t>
        </w:r>
      </w:hyperlink>
      <w:r w:rsidRPr="00075DF5">
        <w:rPr>
          <w:rFonts w:ascii="Arial" w:eastAsia="Aptos" w:hAnsi="Arial" w:cs="Times New Roman"/>
          <w:color w:val="0000FF"/>
          <w:sz w:val="24"/>
          <w:szCs w:val="24"/>
          <w:u w:val="single"/>
          <w:lang w:eastAsia="en-GB"/>
        </w:rPr>
        <w:t xml:space="preserve"> </w:t>
      </w:r>
      <w:r w:rsidRPr="00075DF5">
        <w:rPr>
          <w:rFonts w:ascii="Calibri" w:eastAsia="Aptos" w:hAnsi="Calibri" w:cs="Calibri"/>
          <w:lang w:eastAsia="en-GB"/>
        </w:rPr>
        <w:t xml:space="preserve"> &amp; </w:t>
      </w:r>
      <w:hyperlink r:id="rId13" w:history="1">
        <w:r w:rsidRPr="00075DF5">
          <w:rPr>
            <w:rFonts w:ascii="Calibri" w:eastAsia="Aptos" w:hAnsi="Calibri" w:cs="Calibri"/>
            <w:color w:val="0000FF"/>
            <w:u w:val="single"/>
            <w:lang w:eastAsia="en-GB"/>
          </w:rPr>
          <w:t>www.primitas.co.uk</w:t>
        </w:r>
      </w:hyperlink>
      <w:r w:rsidRPr="00075DF5">
        <w:rPr>
          <w:rFonts w:ascii="Calibri" w:eastAsia="Aptos" w:hAnsi="Calibri" w:cs="Calibri"/>
          <w:lang w:eastAsia="en-GB"/>
        </w:rPr>
        <w:t xml:space="preserve">   </w:t>
      </w:r>
    </w:p>
    <w:p w14:paraId="653071C5" w14:textId="77777777" w:rsidR="00075DF5" w:rsidRPr="00075DF5" w:rsidRDefault="00075DF5" w:rsidP="00075DF5">
      <w:pPr>
        <w:spacing w:after="0" w:line="240" w:lineRule="auto"/>
        <w:ind w:right="-336"/>
        <w:jc w:val="center"/>
        <w:rPr>
          <w:rFonts w:ascii="Calibri" w:eastAsia="Times New Roman" w:hAnsi="Calibri" w:cs="Calibri"/>
          <w:b/>
          <w:sz w:val="20"/>
          <w:szCs w:val="20"/>
          <w:u w:val="single"/>
          <w:lang w:val="en" w:eastAsia="en-GB"/>
        </w:rPr>
      </w:pPr>
      <w:r w:rsidRPr="00075DF5">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0E897639" wp14:editId="4A893283">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075DF5">
        <w:rPr>
          <w:rFonts w:ascii="Calibri" w:eastAsia="Times New Roman" w:hAnsi="Calibri" w:cs="Calibri"/>
          <w:i/>
          <w:sz w:val="20"/>
          <w:szCs w:val="20"/>
          <w:lang w:eastAsia="en-GB"/>
        </w:rPr>
        <w:t>Primitas</w:t>
      </w:r>
      <w:proofErr w:type="spellEnd"/>
      <w:r w:rsidRPr="00075DF5">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2" w:name="_Toc47091960"/>
      <w:bookmarkStart w:id="3" w:name="_Toc86067574"/>
      <w:bookmarkEnd w:id="2"/>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3"/>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4"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4"/>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5"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5"/>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6"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6"/>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7"/>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8"/>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10" w:name="_Toc86067581"/>
      <w:bookmarkEnd w:id="9"/>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0"/>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1"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1"/>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96B1" w14:textId="77777777" w:rsidR="00AF1642" w:rsidRDefault="00AF1642" w:rsidP="00611785">
      <w:pPr>
        <w:spacing w:after="0" w:line="240" w:lineRule="auto"/>
      </w:pPr>
      <w:r>
        <w:separator/>
      </w:r>
    </w:p>
  </w:endnote>
  <w:endnote w:type="continuationSeparator" w:id="0">
    <w:p w14:paraId="0C30DCCF" w14:textId="77777777" w:rsidR="00AF1642" w:rsidRDefault="00AF1642"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F220" w14:textId="77777777" w:rsidR="00AF1642" w:rsidRDefault="00AF1642" w:rsidP="00611785">
      <w:pPr>
        <w:spacing w:after="0" w:line="240" w:lineRule="auto"/>
      </w:pPr>
      <w:r>
        <w:separator/>
      </w:r>
    </w:p>
  </w:footnote>
  <w:footnote w:type="continuationSeparator" w:id="0">
    <w:p w14:paraId="5D527373" w14:textId="77777777" w:rsidR="00AF1642" w:rsidRDefault="00AF1642"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E04C9"/>
    <w:rsid w:val="00700B01"/>
    <w:rsid w:val="00712328"/>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41967"/>
    <w:rsid w:val="00A92A9E"/>
    <w:rsid w:val="00AE1B06"/>
    <w:rsid w:val="00AE3384"/>
    <w:rsid w:val="00AE54B4"/>
    <w:rsid w:val="00AF1642"/>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2026-04-22T07:27:00Z</dcterms:created>
  <dcterms:modified xsi:type="dcterms:W3CDTF">2026-04-22T07:27:00Z</dcterms:modified>
</cp:coreProperties>
</file>