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0116DBD"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26781C">
        <w:rPr>
          <w:rFonts w:asciiTheme="minorHAnsi" w:hAnsiTheme="minorHAnsi"/>
          <w:b/>
          <w:i/>
        </w:rPr>
        <w:t>St Joseph</w:t>
      </w:r>
      <w:r w:rsidR="00961BB5">
        <w:rPr>
          <w:rFonts w:asciiTheme="minorHAnsi" w:hAnsiTheme="minorHAnsi"/>
          <w:b/>
          <w:i/>
        </w:rPr>
        <w:t>’</w:t>
      </w:r>
      <w:r w:rsidR="0026781C">
        <w:rPr>
          <w:rFonts w:asciiTheme="minorHAnsi" w:hAnsiTheme="minorHAnsi"/>
          <w:b/>
          <w:i/>
        </w:rPr>
        <w:t>s RC High School, a VA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0686BA5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26781C">
        <w:rPr>
          <w:rFonts w:asciiTheme="minorHAnsi" w:hAnsiTheme="minorHAnsi"/>
        </w:rPr>
        <w:t xml:space="preserve"> </w:t>
      </w:r>
      <w:r w:rsidRPr="00B872A1">
        <w:rPr>
          <w:rFonts w:asciiTheme="minorHAnsi" w:hAnsiTheme="minorHAnsi"/>
        </w:rPr>
        <w:t xml:space="preserve">and the Local Authority Designated Officer for child protection matters (the LADO).  As a Catholic education provider, we work closely with </w:t>
      </w:r>
      <w:r w:rsidR="000025E8">
        <w:rPr>
          <w:rFonts w:asciiTheme="minorHAnsi" w:hAnsiTheme="minorHAnsi"/>
        </w:rPr>
        <w:t xml:space="preserve">Salford Diocese and Bolton LA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2F8D77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961BB5">
        <w:rPr>
          <w:rFonts w:asciiTheme="minorHAnsi" w:hAnsiTheme="minorHAnsi"/>
          <w:b/>
          <w:i/>
        </w:rPr>
        <w:t>Mrs A McD</w:t>
      </w:r>
      <w:bookmarkStart w:id="6" w:name="_GoBack"/>
      <w:bookmarkEnd w:id="6"/>
      <w:r w:rsidR="000025E8">
        <w:rPr>
          <w:rFonts w:asciiTheme="minorHAnsi" w:hAnsiTheme="minorHAnsi"/>
          <w:b/>
          <w:i/>
        </w:rPr>
        <w:t xml:space="preserve">onnell and Mr M Singleton  </w:t>
      </w:r>
      <w:r w:rsidRPr="00B5457A">
        <w:rPr>
          <w:rFonts w:asciiTheme="minorHAnsi" w:hAnsiTheme="minorHAnsi"/>
        </w:rPr>
        <w:t>and you can contact them with any questions relating to our handling of your</w:t>
      </w:r>
      <w:r w:rsidR="000025E8">
        <w:rPr>
          <w:rFonts w:asciiTheme="minorHAnsi" w:hAnsiTheme="minorHAnsi"/>
        </w:rPr>
        <w:t xml:space="preserve"> data.  You can contact them by emailing office@st-josephs.bolton.sch.uk.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0BB6AB73"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1F049F2E"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0025E8">
        <w:rPr>
          <w:rFonts w:asciiTheme="minorHAnsi" w:hAnsiTheme="minorHAnsi"/>
        </w:rPr>
        <w:t xml:space="preserve"> </w:t>
      </w:r>
      <w:r w:rsidRPr="00705AF8">
        <w:rPr>
          <w:rFonts w:asciiTheme="minorHAnsi" w:hAnsiTheme="minorHAnsi"/>
        </w:rPr>
        <w:t>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C3D723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0025E8">
        <w:rPr>
          <w:rFonts w:asciiTheme="minorHAnsi" w:hAnsiTheme="minorHAnsi"/>
        </w:rPr>
        <w:t>by</w:t>
      </w:r>
      <w:r w:rsidR="000025E8" w:rsidRPr="000025E8">
        <w:rPr>
          <w:rFonts w:asciiTheme="minorHAnsi" w:hAnsiTheme="minorHAnsi"/>
        </w:rPr>
        <w:t xml:space="preserve"> accessing the</w:t>
      </w:r>
      <w:r w:rsidR="000025E8">
        <w:rPr>
          <w:rFonts w:asciiTheme="minorHAnsi" w:hAnsiTheme="minorHAnsi"/>
        </w:rPr>
        <w:t xml:space="preserve"> complaints policy on the school website and returning to school. </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61BB5" w:rsidRPr="00961BB5">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25E8"/>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6781C"/>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61BB5"/>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d4dfaa1f-f179-4211-beb9-86f6063cde03"/>
    <ds:schemaRef ds:uri="http://purl.org/dc/dcmitype/"/>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7D5B42CB-2876-42E1-99BD-4704A7F3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currasss</cp:lastModifiedBy>
  <cp:revision>4</cp:revision>
  <cp:lastPrinted>2016-01-28T14:41:00Z</cp:lastPrinted>
  <dcterms:created xsi:type="dcterms:W3CDTF">2021-06-17T08:21:00Z</dcterms:created>
  <dcterms:modified xsi:type="dcterms:W3CDTF">2021-08-16T10:28:00Z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