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A363" w14:textId="77777777" w:rsidR="000F4B8D" w:rsidRPr="000F4B8D" w:rsidRDefault="000F4B8D" w:rsidP="002547A1">
      <w:pPr>
        <w:pStyle w:val="NoSpacing"/>
        <w:jc w:val="center"/>
        <w:rPr>
          <w:rFonts w:eastAsia="Times New Roman"/>
          <w:b/>
          <w:bCs/>
        </w:rPr>
      </w:pPr>
    </w:p>
    <w:p w14:paraId="6A6503CC" w14:textId="03EF9876" w:rsidR="00D30A90" w:rsidRDefault="00D30A90" w:rsidP="00D30A90">
      <w:pPr>
        <w:pStyle w:val="NoSpacing"/>
        <w:jc w:val="center"/>
        <w:rPr>
          <w:b/>
          <w:bCs/>
        </w:rPr>
      </w:pPr>
      <w:r>
        <w:rPr>
          <w:b/>
          <w:bCs/>
        </w:rPr>
        <w:t xml:space="preserve">Teacher of </w:t>
      </w:r>
      <w:r w:rsidR="00DF5E85">
        <w:rPr>
          <w:b/>
          <w:bCs/>
        </w:rPr>
        <w:t xml:space="preserve">Science </w:t>
      </w:r>
    </w:p>
    <w:p w14:paraId="299AE8E0" w14:textId="77777777" w:rsidR="00573115" w:rsidRPr="00F571FC" w:rsidRDefault="00573115" w:rsidP="00573115">
      <w:pPr>
        <w:pStyle w:val="NoSpacing"/>
      </w:pPr>
    </w:p>
    <w:p w14:paraId="36E4A0DC" w14:textId="77777777" w:rsidR="00573115" w:rsidRPr="003D7E35" w:rsidRDefault="00573115" w:rsidP="00573115">
      <w:pPr>
        <w:pStyle w:val="NoSpacing"/>
        <w:rPr>
          <w:b/>
          <w:bCs/>
        </w:rPr>
      </w:pPr>
      <w:r w:rsidRPr="006141BA">
        <w:rPr>
          <w:b/>
          <w:bCs/>
        </w:rPr>
        <w:t xml:space="preserve">Salary: </w:t>
      </w:r>
      <w:r w:rsidRPr="006141BA">
        <w:rPr>
          <w:b/>
          <w:bCs/>
        </w:rPr>
        <w:tab/>
      </w:r>
      <w:r w:rsidRPr="006141BA">
        <w:rPr>
          <w:b/>
          <w:bCs/>
        </w:rPr>
        <w:tab/>
      </w:r>
      <w:r w:rsidRPr="006141BA">
        <w:rPr>
          <w:b/>
          <w:bCs/>
        </w:rPr>
        <w:tab/>
      </w:r>
      <w:r w:rsidRPr="003D7E35">
        <w:rPr>
          <w:b/>
          <w:bCs/>
        </w:rPr>
        <w:t>M1-U3 £30,000-£46,525</w:t>
      </w:r>
    </w:p>
    <w:p w14:paraId="7BFBD655" w14:textId="77777777" w:rsidR="00573115" w:rsidRPr="00A23528" w:rsidRDefault="00573115" w:rsidP="00573115">
      <w:pPr>
        <w:pStyle w:val="NoSpacing"/>
        <w:rPr>
          <w:b/>
          <w:bCs/>
        </w:rPr>
      </w:pPr>
      <w:r w:rsidRPr="006141BA">
        <w:rPr>
          <w:b/>
          <w:bCs/>
        </w:rPr>
        <w:t xml:space="preserve">Working hours: </w:t>
      </w:r>
      <w:r w:rsidRPr="006141BA">
        <w:rPr>
          <w:b/>
          <w:bCs/>
        </w:rPr>
        <w:tab/>
      </w:r>
      <w:r w:rsidRPr="00A23528">
        <w:rPr>
          <w:b/>
          <w:bCs/>
        </w:rPr>
        <w:t>32.5 Hours per week</w:t>
      </w:r>
    </w:p>
    <w:p w14:paraId="075A86D9" w14:textId="2A28DF6F" w:rsidR="00573115" w:rsidRPr="006141BA" w:rsidRDefault="00573115" w:rsidP="00573115">
      <w:pPr>
        <w:pStyle w:val="NoSpacing"/>
        <w:rPr>
          <w:b/>
          <w:bCs/>
        </w:rPr>
      </w:pPr>
      <w:r w:rsidRPr="006141BA">
        <w:rPr>
          <w:b/>
          <w:bCs/>
        </w:rPr>
        <w:t xml:space="preserve">Contract type: </w:t>
      </w:r>
      <w:r>
        <w:rPr>
          <w:b/>
          <w:bCs/>
        </w:rPr>
        <w:tab/>
      </w:r>
      <w:r>
        <w:rPr>
          <w:b/>
          <w:bCs/>
        </w:rPr>
        <w:tab/>
      </w:r>
      <w:r w:rsidR="00D43B44">
        <w:rPr>
          <w:b/>
          <w:bCs/>
        </w:rPr>
        <w:t xml:space="preserve">Permanent </w:t>
      </w:r>
    </w:p>
    <w:p w14:paraId="7AF2188F" w14:textId="349E5D5F" w:rsidR="00D30A90" w:rsidRDefault="00573115" w:rsidP="00D30A90">
      <w:pPr>
        <w:pStyle w:val="NoSpacing"/>
        <w:rPr>
          <w:b/>
          <w:bCs/>
        </w:rPr>
      </w:pPr>
      <w:r w:rsidRPr="006141BA">
        <w:rPr>
          <w:b/>
          <w:bCs/>
        </w:rPr>
        <w:t xml:space="preserve">Start date: </w:t>
      </w:r>
      <w:r>
        <w:rPr>
          <w:b/>
          <w:bCs/>
        </w:rPr>
        <w:tab/>
      </w:r>
      <w:r>
        <w:rPr>
          <w:b/>
          <w:bCs/>
        </w:rPr>
        <w:tab/>
      </w:r>
      <w:bookmarkStart w:id="0" w:name="_Hlk158721138"/>
      <w:r w:rsidR="002C12BB">
        <w:rPr>
          <w:b/>
          <w:bCs/>
        </w:rPr>
        <w:t>September 2024</w:t>
      </w:r>
    </w:p>
    <w:p w14:paraId="08EFEB02" w14:textId="77777777" w:rsidR="00D30A90" w:rsidRPr="00D30A90" w:rsidRDefault="00D30A90" w:rsidP="00D30A90">
      <w:pPr>
        <w:pStyle w:val="NoSpacing"/>
        <w:rPr>
          <w:b/>
          <w:bCs/>
        </w:rPr>
      </w:pPr>
    </w:p>
    <w:p w14:paraId="1C3CD138" w14:textId="08240AAB" w:rsidR="001B331B" w:rsidRDefault="001B331B" w:rsidP="001B331B">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Woodhey High School are seeking </w:t>
      </w:r>
      <w:r>
        <w:rPr>
          <w:rFonts w:eastAsia="Calibri" w:cstheme="minorHAnsi"/>
          <w:color w:val="000000"/>
          <w:lang w:eastAsia="en-GB"/>
        </w:rPr>
        <w:t>a c</w:t>
      </w:r>
      <w:r w:rsidRPr="00160703">
        <w:rPr>
          <w:rFonts w:eastAsia="Calibri" w:cstheme="minorHAnsi"/>
          <w:color w:val="000000"/>
          <w:lang w:eastAsia="en-GB"/>
        </w:rPr>
        <w:t>reative</w:t>
      </w:r>
      <w:r>
        <w:rPr>
          <w:rFonts w:eastAsia="Calibri" w:cstheme="minorHAnsi"/>
          <w:color w:val="000000"/>
          <w:lang w:eastAsia="en-GB"/>
        </w:rPr>
        <w:t xml:space="preserve"> and </w:t>
      </w:r>
      <w:r w:rsidRPr="00160703">
        <w:rPr>
          <w:rFonts w:eastAsia="Calibri" w:cstheme="minorHAnsi"/>
          <w:color w:val="000000"/>
          <w:lang w:eastAsia="en-GB"/>
        </w:rPr>
        <w:t>dynamic</w:t>
      </w:r>
      <w:r>
        <w:rPr>
          <w:rFonts w:eastAsia="Calibri" w:cstheme="minorHAnsi"/>
          <w:color w:val="000000"/>
          <w:lang w:eastAsia="en-GB"/>
        </w:rPr>
        <w:t xml:space="preserve"> Science Teacher to join our Innovation</w:t>
      </w:r>
      <w:r w:rsidRPr="00C351F7">
        <w:rPr>
          <w:rFonts w:eastAsia="Calibri" w:cstheme="minorHAnsi"/>
          <w:color w:val="000000"/>
          <w:lang w:eastAsia="en-GB"/>
        </w:rPr>
        <w:t xml:space="preserve"> Faculty. </w:t>
      </w:r>
      <w:r w:rsidRPr="004065F7">
        <w:rPr>
          <w:rFonts w:eastAsia="Calibri" w:cstheme="minorHAnsi"/>
          <w:color w:val="000000"/>
          <w:lang w:eastAsia="en-GB"/>
        </w:rPr>
        <w:t>You should have the ability to</w:t>
      </w:r>
      <w:r>
        <w:rPr>
          <w:rFonts w:eastAsia="Calibri" w:cstheme="minorHAnsi"/>
          <w:color w:val="000000"/>
          <w:lang w:eastAsia="en-GB"/>
        </w:rPr>
        <w:t xml:space="preserve"> </w:t>
      </w:r>
      <w:r w:rsidRPr="004065F7">
        <w:rPr>
          <w:rFonts w:eastAsia="Calibri" w:cstheme="minorHAnsi"/>
          <w:color w:val="000000"/>
          <w:lang w:eastAsia="en-GB"/>
        </w:rPr>
        <w:t xml:space="preserve">inspire and motivate our students </w:t>
      </w:r>
      <w:r>
        <w:rPr>
          <w:rFonts w:eastAsia="Calibri" w:cstheme="minorHAnsi"/>
          <w:color w:val="000000"/>
          <w:lang w:eastAsia="en-GB"/>
        </w:rPr>
        <w:t>and</w:t>
      </w:r>
      <w:r w:rsidRPr="00512F97">
        <w:rPr>
          <w:rFonts w:eastAsia="Calibri" w:cstheme="minorHAnsi"/>
          <w:color w:val="000000"/>
          <w:lang w:eastAsia="en-GB"/>
        </w:rPr>
        <w:t xml:space="preserve"> is able to teach at both KS3 and KS4 level across all areas of science</w:t>
      </w:r>
      <w:r>
        <w:rPr>
          <w:rFonts w:eastAsia="Calibri" w:cstheme="minorHAnsi"/>
          <w:color w:val="000000"/>
          <w:lang w:eastAsia="en-GB"/>
        </w:rPr>
        <w:t>.</w:t>
      </w:r>
      <w:r w:rsidR="00386EE8">
        <w:rPr>
          <w:rFonts w:eastAsia="Calibri" w:cstheme="minorHAnsi"/>
          <w:color w:val="000000"/>
          <w:lang w:eastAsia="en-GB"/>
        </w:rPr>
        <w:t xml:space="preserve"> W</w:t>
      </w:r>
      <w:r w:rsidR="00386EE8" w:rsidRPr="00386EE8">
        <w:rPr>
          <w:rFonts w:eastAsia="Calibri" w:cstheme="minorHAnsi"/>
          <w:color w:val="000000"/>
          <w:lang w:eastAsia="en-GB"/>
        </w:rPr>
        <w:t>e welcome applications from ECTs as well as more experienced teachers looking to join a thriving and collaborative department in a highly successful school.</w:t>
      </w:r>
    </w:p>
    <w:p w14:paraId="0063F785" w14:textId="77777777" w:rsidR="00E839F8" w:rsidRDefault="00E839F8" w:rsidP="00E839F8">
      <w:pPr>
        <w:pStyle w:val="NoSpacing"/>
        <w:jc w:val="both"/>
      </w:pPr>
    </w:p>
    <w:p w14:paraId="161B682F" w14:textId="31DE126B" w:rsidR="00E839F8" w:rsidRDefault="00E839F8" w:rsidP="00E839F8">
      <w:pPr>
        <w:pStyle w:val="NoSpacing"/>
        <w:jc w:val="both"/>
      </w:pPr>
      <w:r>
        <w:t>Woodhey has a successful</w:t>
      </w:r>
      <w:r w:rsidR="00940360">
        <w:t xml:space="preserve"> Science </w:t>
      </w:r>
      <w:r>
        <w:t>Faculty curriculum which can be accessed below-</w:t>
      </w:r>
    </w:p>
    <w:p w14:paraId="488AC3A0" w14:textId="554512CF" w:rsidR="007D4146" w:rsidRDefault="00000000" w:rsidP="00E839F8">
      <w:pPr>
        <w:pStyle w:val="NoSpacing"/>
        <w:jc w:val="both"/>
      </w:pPr>
      <w:hyperlink r:id="rId7" w:history="1">
        <w:r w:rsidR="00E839F8" w:rsidRPr="005F4A2D">
          <w:rPr>
            <w:rStyle w:val="Hyperlink"/>
          </w:rPr>
          <w:t>https://woodhey.bury.sch.uk/curriculum/woodhey-school-curriculum</w:t>
        </w:r>
      </w:hyperlink>
    </w:p>
    <w:p w14:paraId="3D311786" w14:textId="77777777" w:rsidR="00E839F8" w:rsidRDefault="00E839F8" w:rsidP="00E839F8">
      <w:pPr>
        <w:pStyle w:val="NoSpacing"/>
        <w:jc w:val="both"/>
      </w:pPr>
    </w:p>
    <w:p w14:paraId="2E5DC863" w14:textId="77777777" w:rsidR="00143CDD" w:rsidRPr="007D4146" w:rsidRDefault="00143CDD" w:rsidP="001D78D1">
      <w:pPr>
        <w:pStyle w:val="NoSpacing"/>
        <w:jc w:val="both"/>
        <w:rPr>
          <w:b/>
          <w:bCs/>
        </w:rPr>
      </w:pPr>
      <w:r w:rsidRPr="007D4146">
        <w:rPr>
          <w:b/>
          <w:bCs/>
        </w:rPr>
        <w:t xml:space="preserve">The successful candidate will be: </w:t>
      </w:r>
    </w:p>
    <w:p w14:paraId="5EDD4200" w14:textId="77777777" w:rsidR="00143CDD" w:rsidRDefault="00143CDD" w:rsidP="001D78D1">
      <w:pPr>
        <w:pStyle w:val="NoSpacing"/>
        <w:numPr>
          <w:ilvl w:val="0"/>
          <w:numId w:val="7"/>
        </w:numPr>
        <w:jc w:val="both"/>
      </w:pPr>
      <w:r>
        <w:t>Enthusiastic, diligent, flexible and innovative with a drive for improvement</w:t>
      </w:r>
    </w:p>
    <w:p w14:paraId="6939D124" w14:textId="77777777" w:rsidR="00143CDD" w:rsidRDefault="00143CDD" w:rsidP="001D78D1">
      <w:pPr>
        <w:pStyle w:val="NoSpacing"/>
        <w:numPr>
          <w:ilvl w:val="0"/>
          <w:numId w:val="7"/>
        </w:numPr>
        <w:jc w:val="both"/>
      </w:pPr>
      <w:r>
        <w:t xml:space="preserve"> A dedicated team player who develops excellent relationships with students and staff alike</w:t>
      </w:r>
    </w:p>
    <w:p w14:paraId="6A19356E" w14:textId="77777777" w:rsidR="00143CDD" w:rsidRDefault="00143CDD" w:rsidP="001D78D1">
      <w:pPr>
        <w:pStyle w:val="NoSpacing"/>
        <w:numPr>
          <w:ilvl w:val="0"/>
          <w:numId w:val="7"/>
        </w:numPr>
        <w:jc w:val="both"/>
      </w:pPr>
      <w:r>
        <w:t xml:space="preserve">Professional, leading by example and at all times </w:t>
      </w:r>
    </w:p>
    <w:p w14:paraId="6423B79E" w14:textId="77777777" w:rsidR="00143CDD" w:rsidRDefault="00143CDD" w:rsidP="001D78D1">
      <w:pPr>
        <w:pStyle w:val="NoSpacing"/>
        <w:numPr>
          <w:ilvl w:val="0"/>
          <w:numId w:val="7"/>
        </w:numPr>
        <w:jc w:val="both"/>
      </w:pPr>
      <w:r>
        <w:t>Fully supportive of the positive ethos of the school and a willingness to contribute to wider school life, for example, through extracurricular activities</w:t>
      </w:r>
    </w:p>
    <w:p w14:paraId="49480F80" w14:textId="77777777" w:rsidR="00143CDD" w:rsidRDefault="00143CDD" w:rsidP="001D78D1">
      <w:pPr>
        <w:pStyle w:val="NoSpacing"/>
        <w:numPr>
          <w:ilvl w:val="0"/>
          <w:numId w:val="7"/>
        </w:numPr>
        <w:jc w:val="both"/>
      </w:pPr>
      <w:r>
        <w:t xml:space="preserve">Willing to participate in personal continued professional development. </w:t>
      </w:r>
    </w:p>
    <w:p w14:paraId="3B6071E1" w14:textId="77777777" w:rsidR="00143CDD" w:rsidRDefault="00143CDD" w:rsidP="00AA3C34">
      <w:pPr>
        <w:pStyle w:val="NoSpacing"/>
      </w:pPr>
    </w:p>
    <w:p w14:paraId="07AAAF11" w14:textId="6DB24B2B" w:rsidR="00143CDD" w:rsidRPr="00AA3C34" w:rsidRDefault="00143CDD" w:rsidP="001D78D1">
      <w:pPr>
        <w:tabs>
          <w:tab w:val="left" w:pos="2916"/>
        </w:tabs>
        <w:jc w:val="both"/>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to enable our students to flourish. We are already seeing the impact of our changes, having seen our students achieve the best results in the school’s history in 2023, and student attendance improve from the bottom 10% of all secondary schools nationally, to the top 25% of all secondary schools in just twelve months. Do you want to be a part of our amazing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77777"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86EA196" w14:textId="77777777" w:rsidR="007473A1" w:rsidRDefault="007473A1" w:rsidP="007473A1">
      <w:pPr>
        <w:pStyle w:val="NoSpacing"/>
        <w:jc w:val="both"/>
      </w:pPr>
    </w:p>
    <w:p w14:paraId="17399B63" w14:textId="77777777" w:rsidR="007473A1"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180AD8AB" w14:textId="77777777" w:rsidR="007473A1" w:rsidRDefault="007473A1" w:rsidP="007473A1">
      <w:pPr>
        <w:pStyle w:val="NoSpacing"/>
        <w:jc w:val="both"/>
      </w:pPr>
    </w:p>
    <w:p w14:paraId="43E7BBCA" w14:textId="77777777" w:rsidR="00E839F8" w:rsidRDefault="00E839F8" w:rsidP="007473A1">
      <w:pPr>
        <w:pStyle w:val="NoSpacing"/>
        <w:jc w:val="both"/>
      </w:pPr>
    </w:p>
    <w:p w14:paraId="4A0D0161" w14:textId="77777777" w:rsidR="00E839F8" w:rsidRDefault="00E839F8" w:rsidP="007473A1">
      <w:pPr>
        <w:pStyle w:val="NoSpacing"/>
        <w:jc w:val="both"/>
      </w:pPr>
    </w:p>
    <w:p w14:paraId="7326D855" w14:textId="2C1C0588" w:rsidR="007473A1"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283AE6B" w14:textId="77777777" w:rsidR="007473A1" w:rsidRDefault="007473A1" w:rsidP="007473A1">
      <w:pPr>
        <w:pStyle w:val="NoSpacing"/>
        <w:jc w:val="both"/>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4B152BF" w14:textId="77777777" w:rsidR="007473A1" w:rsidRDefault="007473A1" w:rsidP="007473A1">
      <w:pPr>
        <w:jc w:val="both"/>
        <w:rPr>
          <w:b/>
          <w:bCs/>
        </w:rPr>
      </w:pPr>
      <w:r>
        <w:rPr>
          <w:b/>
          <w:bCs/>
        </w:rPr>
        <w:t xml:space="preserve">Please visit The Woodhey career site for more information: </w:t>
      </w:r>
      <w:hyperlink r:id="rId8" w:history="1">
        <w:r w:rsidRPr="00313382">
          <w:rPr>
            <w:color w:val="0000FF"/>
            <w:u w:val="single"/>
          </w:rPr>
          <w:t>Woodhey High School Career Site (schoolrecruiter.com)</w:t>
        </w:r>
      </w:hyperlink>
    </w:p>
    <w:p w14:paraId="61C04CBD" w14:textId="77777777" w:rsidR="007473A1" w:rsidRDefault="007473A1" w:rsidP="007473A1">
      <w:pPr>
        <w:pStyle w:val="NoSpacing"/>
        <w:jc w:val="both"/>
      </w:pPr>
      <w:r>
        <w:rPr>
          <w:noProof/>
        </w:rPr>
        <w:drawing>
          <wp:inline distT="0" distB="0" distL="0" distR="0" wp14:anchorId="7CAB2503" wp14:editId="7FA6AE42">
            <wp:extent cx="662940" cy="662940"/>
            <wp:effectExtent l="0" t="0" r="3810" b="381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9"/>
                    <a:stretch>
                      <a:fillRect/>
                    </a:stretch>
                  </pic:blipFill>
                  <pic:spPr>
                    <a:xfrm>
                      <a:off x="0" y="0"/>
                      <a:ext cx="662947" cy="662947"/>
                    </a:xfrm>
                    <a:prstGeom prst="rect">
                      <a:avLst/>
                    </a:prstGeom>
                  </pic:spPr>
                </pic:pic>
              </a:graphicData>
            </a:graphic>
          </wp:inline>
        </w:drawing>
      </w:r>
    </w:p>
    <w:p w14:paraId="294CE952" w14:textId="77777777" w:rsidR="007473A1" w:rsidRDefault="007473A1" w:rsidP="007473A1">
      <w:pPr>
        <w:pStyle w:val="NoSpacing"/>
        <w:jc w:val="both"/>
      </w:pPr>
    </w:p>
    <w:p w14:paraId="069FAF88" w14:textId="77777777" w:rsidR="007473A1" w:rsidRDefault="007473A1" w:rsidP="007473A1">
      <w:pPr>
        <w:pStyle w:val="NoSpacing"/>
        <w:jc w:val="both"/>
        <w:rPr>
          <w:b/>
          <w:bCs/>
        </w:rPr>
      </w:pPr>
      <w:r>
        <w:rPr>
          <w:b/>
          <w:bCs/>
        </w:rPr>
        <w:t>Or click the QR Code to see all vacancies with Woodhey High School</w:t>
      </w:r>
    </w:p>
    <w:p w14:paraId="371DA57C" w14:textId="77777777" w:rsidR="007473A1" w:rsidRDefault="007473A1" w:rsidP="00D43B44">
      <w:pPr>
        <w:pStyle w:val="NoSpacing"/>
      </w:pPr>
    </w:p>
    <w:p w14:paraId="07625EEA" w14:textId="77777777" w:rsidR="007473A1" w:rsidRDefault="007473A1" w:rsidP="007473A1">
      <w:pPr>
        <w:jc w:val="both"/>
      </w:pPr>
      <w:r>
        <w:rPr>
          <w:b/>
          <w:bCs/>
        </w:rPr>
        <w:t>Shaw Education Trust offer the following benefits with your Teaching or Support Staff employment:</w:t>
      </w:r>
    </w:p>
    <w:p w14:paraId="63DFFAD1" w14:textId="77777777" w:rsidR="007473A1" w:rsidRDefault="007473A1" w:rsidP="007473A1">
      <w:pPr>
        <w:pStyle w:val="ListParagraph"/>
        <w:numPr>
          <w:ilvl w:val="0"/>
          <w:numId w:val="5"/>
        </w:numPr>
        <w:spacing w:after="0" w:line="240" w:lineRule="auto"/>
        <w:contextualSpacing w:val="0"/>
        <w:jc w:val="both"/>
        <w:rPr>
          <w:rFonts w:eastAsia="Times New Roman"/>
        </w:rPr>
      </w:pPr>
      <w:r>
        <w:rPr>
          <w:rFonts w:eastAsia="Times New Roman"/>
        </w:rPr>
        <w:t>An excellent Local Government Pension Scheme (Support Staff) / Teachers Pension (Teaching Staff)</w:t>
      </w:r>
    </w:p>
    <w:p w14:paraId="22A60C87" w14:textId="77777777" w:rsidR="007473A1" w:rsidRPr="00820CFA" w:rsidRDefault="007473A1" w:rsidP="007473A1">
      <w:pPr>
        <w:pStyle w:val="ListParagraph"/>
        <w:numPr>
          <w:ilvl w:val="0"/>
          <w:numId w:val="5"/>
        </w:numPr>
        <w:spacing w:after="0" w:line="240" w:lineRule="auto"/>
        <w:jc w:val="both"/>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573B6066" w14:textId="77777777" w:rsidR="007473A1" w:rsidRDefault="007473A1" w:rsidP="007473A1">
      <w:pPr>
        <w:pStyle w:val="ListParagraph"/>
        <w:numPr>
          <w:ilvl w:val="0"/>
          <w:numId w:val="5"/>
        </w:numPr>
        <w:spacing w:after="0" w:line="240" w:lineRule="auto"/>
        <w:contextualSpacing w:val="0"/>
        <w:jc w:val="both"/>
        <w:rPr>
          <w:rFonts w:eastAsia="Times New Roman"/>
        </w:rPr>
      </w:pPr>
      <w:r>
        <w:rPr>
          <w:rFonts w:eastAsia="Times New Roman"/>
        </w:rPr>
        <w:t>Access to health and wellbeing support via Occupational Health</w:t>
      </w:r>
    </w:p>
    <w:p w14:paraId="1BEDFC3A" w14:textId="77777777" w:rsidR="007473A1" w:rsidRDefault="007473A1" w:rsidP="007473A1">
      <w:pPr>
        <w:pStyle w:val="ListParagraph"/>
        <w:numPr>
          <w:ilvl w:val="0"/>
          <w:numId w:val="5"/>
        </w:numPr>
        <w:spacing w:after="0" w:line="240" w:lineRule="auto"/>
        <w:contextualSpacing w:val="0"/>
        <w:jc w:val="both"/>
        <w:rPr>
          <w:rFonts w:eastAsia="Times New Roman"/>
        </w:rPr>
      </w:pPr>
      <w:r>
        <w:rPr>
          <w:rFonts w:eastAsia="Times New Roman"/>
        </w:rPr>
        <w:t>Cycle to work scheme</w:t>
      </w:r>
    </w:p>
    <w:p w14:paraId="13F20860" w14:textId="77777777" w:rsidR="007473A1" w:rsidRDefault="007473A1" w:rsidP="007473A1">
      <w:pPr>
        <w:numPr>
          <w:ilvl w:val="0"/>
          <w:numId w:val="5"/>
        </w:numPr>
        <w:spacing w:after="0" w:line="240" w:lineRule="auto"/>
        <w:jc w:val="both"/>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7381368" w14:textId="77777777" w:rsidR="007473A1" w:rsidRDefault="007473A1" w:rsidP="00251F82">
      <w:pPr>
        <w:pStyle w:val="NoSpacing"/>
      </w:pPr>
      <w:r>
        <w:rPr>
          <w:lang w:val="en-US"/>
        </w:rPr>
        <w:t> </w:t>
      </w:r>
    </w:p>
    <w:p w14:paraId="4D4D5007" w14:textId="77777777" w:rsidR="007473A1" w:rsidRDefault="007473A1" w:rsidP="007473A1">
      <w:pPr>
        <w:jc w:val="both"/>
        <w:rPr>
          <w:rFonts w:eastAsia="Times New Roman"/>
        </w:rPr>
      </w:pPr>
      <w:r>
        <w:rPr>
          <w:b/>
          <w:bCs/>
        </w:rPr>
        <w:t>Colleagues within the Trust benefit from:</w:t>
      </w:r>
      <w:r>
        <w:t xml:space="preserve"> </w:t>
      </w: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B2D92DC" w14:textId="4E6EF46F"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251F82">
      <w:pPr>
        <w:pStyle w:val="NoSpacing"/>
      </w:pPr>
    </w:p>
    <w:p w14:paraId="4F05B32E" w14:textId="77777777" w:rsidR="007473A1" w:rsidRDefault="007473A1" w:rsidP="007473A1">
      <w:pPr>
        <w:pStyle w:val="xmsonormal"/>
        <w:jc w:val="both"/>
      </w:pPr>
      <w:r w:rsidRPr="007856B0">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0" w:history="1">
        <w:r>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043CB332" w14:textId="77777777" w:rsidR="00E839F8" w:rsidRDefault="00E839F8" w:rsidP="007473A1">
      <w:pPr>
        <w:pStyle w:val="xmsonormal"/>
        <w:jc w:val="both"/>
      </w:pPr>
    </w:p>
    <w:p w14:paraId="232EAAA1" w14:textId="77777777" w:rsidR="00E839F8" w:rsidRDefault="00E839F8" w:rsidP="007473A1">
      <w:pPr>
        <w:pStyle w:val="xmsonormal"/>
        <w:jc w:val="both"/>
      </w:pPr>
    </w:p>
    <w:p w14:paraId="43DC2803" w14:textId="27B3436E"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6FF7E496" w14:textId="77777777" w:rsidR="007473A1" w:rsidRDefault="007473A1" w:rsidP="007473A1">
      <w:pPr>
        <w:pStyle w:val="xmsonormal"/>
        <w:jc w:val="both"/>
      </w:pPr>
    </w:p>
    <w:p w14:paraId="1409451B" w14:textId="77777777" w:rsidR="007473A1" w:rsidRDefault="007473A1" w:rsidP="007473A1">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2ACE4F7" w14:textId="77777777" w:rsidR="007473A1" w:rsidRDefault="007473A1" w:rsidP="007473A1">
      <w:pPr>
        <w:pStyle w:val="xmsonormal"/>
        <w:jc w:val="both"/>
      </w:pPr>
      <w:r>
        <w:rPr>
          <w:b/>
          <w:bCs/>
        </w:rPr>
        <w: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2ADC60B6" w:rsidR="006141BA" w:rsidRPr="00573115" w:rsidRDefault="006141BA" w:rsidP="001D78D1">
      <w:pPr>
        <w:pStyle w:val="xmsonormal"/>
        <w:jc w:val="both"/>
      </w:pPr>
      <w:r>
        <w:rPr>
          <w:b/>
          <w:bCs/>
        </w:rPr>
        <w:t xml:space="preserve">Application deadline:     </w:t>
      </w:r>
      <w:r w:rsidR="002C12BB">
        <w:rPr>
          <w:b/>
          <w:bCs/>
        </w:rPr>
        <w:t>9.00am 15</w:t>
      </w:r>
      <w:r w:rsidR="002C12BB" w:rsidRPr="002C12BB">
        <w:rPr>
          <w:b/>
          <w:bCs/>
          <w:vertAlign w:val="superscript"/>
        </w:rPr>
        <w:t>th</w:t>
      </w:r>
      <w:r w:rsidR="002C12BB">
        <w:rPr>
          <w:b/>
          <w:bCs/>
        </w:rPr>
        <w:t xml:space="preserve"> April 2024</w:t>
      </w:r>
    </w:p>
    <w:p w14:paraId="7850FF3B" w14:textId="5728F144" w:rsidR="006141BA" w:rsidRPr="00573115" w:rsidRDefault="006141BA" w:rsidP="001D78D1">
      <w:pPr>
        <w:pStyle w:val="xmsonormal"/>
        <w:jc w:val="both"/>
      </w:pPr>
      <w:r w:rsidRPr="00573115">
        <w:rPr>
          <w:b/>
          <w:bCs/>
        </w:rPr>
        <w:t xml:space="preserve">Interview date: </w:t>
      </w:r>
      <w:r w:rsidR="00DA5100" w:rsidRPr="00573115">
        <w:rPr>
          <w:b/>
          <w:bCs/>
        </w:rPr>
        <w:tab/>
      </w:r>
      <w:r w:rsidR="00573115" w:rsidRPr="00573115">
        <w:rPr>
          <w:b/>
          <w:bCs/>
        </w:rPr>
        <w:t xml:space="preserve">To be confirmed </w:t>
      </w:r>
      <w:r w:rsidR="00DA5100" w:rsidRPr="00573115">
        <w:rPr>
          <w:b/>
          <w:bCs/>
        </w:rPr>
        <w:t xml:space="preserve"> </w:t>
      </w:r>
    </w:p>
    <w:p w14:paraId="565C82A7" w14:textId="77777777" w:rsidR="006141BA" w:rsidRDefault="006141BA" w:rsidP="001D78D1">
      <w:pPr>
        <w:pStyle w:val="xmsonormal"/>
        <w:jc w:val="both"/>
      </w:pPr>
      <w:r>
        <w:rPr>
          <w:b/>
          <w:bCs/>
        </w:rPr>
        <w:t> </w:t>
      </w:r>
    </w:p>
    <w:p w14:paraId="360D2333" w14:textId="76AC9BDF" w:rsidR="006141BA" w:rsidRDefault="00051826" w:rsidP="007473A1">
      <w:pPr>
        <w:pStyle w:val="xmsonormal"/>
        <w:jc w:val="both"/>
        <w:rPr>
          <w:b/>
          <w:bCs/>
        </w:rPr>
      </w:pPr>
      <w:r>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7473A1">
      <w:pPr>
        <w:pStyle w:val="xmsonormal"/>
        <w:jc w:val="both"/>
      </w:pPr>
      <w:r>
        <w:rPr>
          <w:b/>
          <w:bCs/>
          <w:lang w:val="en-US"/>
        </w:rPr>
        <w:t> </w:t>
      </w:r>
    </w:p>
    <w:p w14:paraId="684F3D3B" w14:textId="77777777" w:rsidR="006141BA" w:rsidRDefault="006141BA"/>
    <w:sectPr w:rsidR="006141BA" w:rsidSect="002C19A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ADC7" w14:textId="77777777" w:rsidR="002C19A1" w:rsidRDefault="002C19A1" w:rsidP="006141BA">
      <w:pPr>
        <w:spacing w:after="0" w:line="240" w:lineRule="auto"/>
      </w:pPr>
      <w:r>
        <w:separator/>
      </w:r>
    </w:p>
  </w:endnote>
  <w:endnote w:type="continuationSeparator" w:id="0">
    <w:p w14:paraId="33D03F0D" w14:textId="77777777" w:rsidR="002C19A1" w:rsidRDefault="002C19A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D140" w14:textId="77777777" w:rsidR="002C19A1" w:rsidRDefault="002C19A1" w:rsidP="006141BA">
      <w:pPr>
        <w:spacing w:after="0" w:line="240" w:lineRule="auto"/>
      </w:pPr>
      <w:r>
        <w:separator/>
      </w:r>
    </w:p>
  </w:footnote>
  <w:footnote w:type="continuationSeparator" w:id="0">
    <w:p w14:paraId="532D7ED5" w14:textId="77777777" w:rsidR="002C19A1" w:rsidRDefault="002C19A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380209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94E15"/>
    <w:rsid w:val="000A363E"/>
    <w:rsid w:val="000A42C0"/>
    <w:rsid w:val="000C7D22"/>
    <w:rsid w:val="000F4B8D"/>
    <w:rsid w:val="00112BA4"/>
    <w:rsid w:val="00113070"/>
    <w:rsid w:val="00143CDD"/>
    <w:rsid w:val="0019761B"/>
    <w:rsid w:val="001B331B"/>
    <w:rsid w:val="001B54CE"/>
    <w:rsid w:val="001C665F"/>
    <w:rsid w:val="001C6A58"/>
    <w:rsid w:val="001C7126"/>
    <w:rsid w:val="001D78D1"/>
    <w:rsid w:val="001F0194"/>
    <w:rsid w:val="002237B5"/>
    <w:rsid w:val="00251F82"/>
    <w:rsid w:val="002547A1"/>
    <w:rsid w:val="002C12BB"/>
    <w:rsid w:val="002C19A1"/>
    <w:rsid w:val="002D0691"/>
    <w:rsid w:val="002D6DC3"/>
    <w:rsid w:val="002E372F"/>
    <w:rsid w:val="002E4EDE"/>
    <w:rsid w:val="00301FEB"/>
    <w:rsid w:val="0030534E"/>
    <w:rsid w:val="00345D1C"/>
    <w:rsid w:val="00354290"/>
    <w:rsid w:val="00365F6B"/>
    <w:rsid w:val="00386EE8"/>
    <w:rsid w:val="003873E2"/>
    <w:rsid w:val="003D7E35"/>
    <w:rsid w:val="003E6BEF"/>
    <w:rsid w:val="0040276E"/>
    <w:rsid w:val="004F67E4"/>
    <w:rsid w:val="004F6F3C"/>
    <w:rsid w:val="00556B2D"/>
    <w:rsid w:val="005674B7"/>
    <w:rsid w:val="00573115"/>
    <w:rsid w:val="005C3895"/>
    <w:rsid w:val="005D61F2"/>
    <w:rsid w:val="005F51E7"/>
    <w:rsid w:val="00602ED2"/>
    <w:rsid w:val="006141BA"/>
    <w:rsid w:val="0061506D"/>
    <w:rsid w:val="00616306"/>
    <w:rsid w:val="00635F5B"/>
    <w:rsid w:val="00714184"/>
    <w:rsid w:val="0072063D"/>
    <w:rsid w:val="007273E1"/>
    <w:rsid w:val="0074658F"/>
    <w:rsid w:val="007473A1"/>
    <w:rsid w:val="007609B1"/>
    <w:rsid w:val="00773B86"/>
    <w:rsid w:val="007856B0"/>
    <w:rsid w:val="007901A5"/>
    <w:rsid w:val="00795CD5"/>
    <w:rsid w:val="007B2448"/>
    <w:rsid w:val="007D4146"/>
    <w:rsid w:val="007F1D01"/>
    <w:rsid w:val="00820CFA"/>
    <w:rsid w:val="00837C0C"/>
    <w:rsid w:val="00893B49"/>
    <w:rsid w:val="008B4843"/>
    <w:rsid w:val="008C1821"/>
    <w:rsid w:val="008E4C35"/>
    <w:rsid w:val="00940360"/>
    <w:rsid w:val="009C79AA"/>
    <w:rsid w:val="00A23528"/>
    <w:rsid w:val="00A240B9"/>
    <w:rsid w:val="00AA2D2D"/>
    <w:rsid w:val="00AA3C34"/>
    <w:rsid w:val="00AE2662"/>
    <w:rsid w:val="00AF2C5A"/>
    <w:rsid w:val="00B35F85"/>
    <w:rsid w:val="00B54BCE"/>
    <w:rsid w:val="00B75718"/>
    <w:rsid w:val="00B76816"/>
    <w:rsid w:val="00B82C86"/>
    <w:rsid w:val="00B86804"/>
    <w:rsid w:val="00B93538"/>
    <w:rsid w:val="00BA05BD"/>
    <w:rsid w:val="00BE7C91"/>
    <w:rsid w:val="00C0502C"/>
    <w:rsid w:val="00C16151"/>
    <w:rsid w:val="00C1624D"/>
    <w:rsid w:val="00C742C3"/>
    <w:rsid w:val="00CC0E3C"/>
    <w:rsid w:val="00D30A90"/>
    <w:rsid w:val="00D3764B"/>
    <w:rsid w:val="00D43B44"/>
    <w:rsid w:val="00DA5100"/>
    <w:rsid w:val="00DA6BE4"/>
    <w:rsid w:val="00DE4492"/>
    <w:rsid w:val="00DE470C"/>
    <w:rsid w:val="00DF5E85"/>
    <w:rsid w:val="00E01EB7"/>
    <w:rsid w:val="00E30932"/>
    <w:rsid w:val="00E839F8"/>
    <w:rsid w:val="00E919DC"/>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8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2329953">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dhey-bur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odhey.bury.sch.uk/curriculum/woodhey-school-curricul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2024-03-19T12:26:00Z</dcterms:created>
  <dcterms:modified xsi:type="dcterms:W3CDTF">2024-03-20T19:06:00Z</dcterms:modified>
</cp:coreProperties>
</file>