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BD0D"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639C6DEB" w14:textId="77777777" w:rsidR="00463ADC" w:rsidRPr="002F5EDE" w:rsidRDefault="00463ADC" w:rsidP="00463ADC">
      <w:pPr>
        <w:ind w:left="284" w:right="827"/>
        <w:jc w:val="both"/>
        <w:rPr>
          <w:rFonts w:asciiTheme="majorHAnsi" w:hAnsiTheme="majorHAnsi" w:cstheme="majorHAnsi"/>
          <w:color w:val="002060"/>
          <w:sz w:val="22"/>
          <w:szCs w:val="22"/>
        </w:rPr>
      </w:pPr>
    </w:p>
    <w:p w14:paraId="0331B42E" w14:textId="49C0B07B"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666CEF">
        <w:rPr>
          <w:rFonts w:asciiTheme="majorHAnsi" w:hAnsiTheme="majorHAnsi" w:cstheme="majorHAnsi"/>
          <w:color w:val="002060"/>
          <w:sz w:val="22"/>
          <w:szCs w:val="22"/>
        </w:rPr>
        <w:t xml:space="preserve">a teacher of </w:t>
      </w:r>
      <w:r w:rsidR="00D42E39">
        <w:rPr>
          <w:rFonts w:asciiTheme="majorHAnsi" w:hAnsiTheme="majorHAnsi" w:cstheme="majorHAnsi"/>
          <w:color w:val="002060"/>
          <w:sz w:val="22"/>
          <w:szCs w:val="22"/>
        </w:rPr>
        <w:t>Science</w:t>
      </w:r>
      <w:r w:rsidR="00C24412">
        <w:rPr>
          <w:rFonts w:asciiTheme="majorHAnsi" w:hAnsiTheme="majorHAnsi" w:cstheme="majorHAnsi"/>
          <w:color w:val="002060"/>
          <w:sz w:val="22"/>
          <w:szCs w:val="22"/>
        </w:rPr>
        <w:t xml:space="preserve"> </w:t>
      </w:r>
      <w:r w:rsidR="00666CEF">
        <w:rPr>
          <w:rFonts w:asciiTheme="majorHAnsi" w:hAnsiTheme="majorHAnsi" w:cstheme="majorHAnsi"/>
          <w:color w:val="002060"/>
          <w:sz w:val="22"/>
          <w:szCs w:val="22"/>
        </w:rPr>
        <w:t xml:space="preserve">at </w:t>
      </w:r>
      <w:r w:rsidR="00C24412">
        <w:rPr>
          <w:rFonts w:asciiTheme="majorHAnsi" w:hAnsiTheme="majorHAnsi" w:cstheme="majorHAnsi"/>
          <w:color w:val="002060"/>
          <w:sz w:val="22"/>
          <w:szCs w:val="22"/>
        </w:rPr>
        <w:t>Twynham School</w:t>
      </w:r>
      <w:r w:rsidR="000B25D0">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I hope that this brief letter gives you a better understanding of the enormously exciting adventure we have embarked upon at Twynham School and TGS. We would welcome an application from you if you feel that you share our values and have the determination to transform the lives of young people in our community.</w:t>
      </w:r>
    </w:p>
    <w:p w14:paraId="24D9FA17" w14:textId="77777777" w:rsidR="00463ADC" w:rsidRPr="002F5EDE" w:rsidRDefault="00463ADC" w:rsidP="00463ADC">
      <w:pPr>
        <w:ind w:left="284" w:right="827"/>
        <w:jc w:val="both"/>
        <w:rPr>
          <w:rFonts w:asciiTheme="majorHAnsi" w:hAnsiTheme="majorHAnsi" w:cstheme="majorHAnsi"/>
          <w:color w:val="002060"/>
          <w:sz w:val="22"/>
          <w:szCs w:val="22"/>
        </w:rPr>
      </w:pPr>
    </w:p>
    <w:p w14:paraId="595C12BB"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C4780A0" w14:textId="77777777" w:rsidR="00463ADC" w:rsidRPr="002F5EDE" w:rsidRDefault="00463ADC" w:rsidP="00463ADC">
      <w:pPr>
        <w:ind w:left="284" w:right="827"/>
        <w:jc w:val="both"/>
        <w:rPr>
          <w:rFonts w:asciiTheme="majorHAnsi" w:hAnsiTheme="majorHAnsi" w:cstheme="majorHAnsi"/>
          <w:color w:val="002060"/>
          <w:sz w:val="22"/>
          <w:szCs w:val="22"/>
        </w:rPr>
      </w:pPr>
    </w:p>
    <w:p w14:paraId="32528A50" w14:textId="3C440A24"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t>
      </w:r>
      <w:r w:rsidR="00666CEF">
        <w:rPr>
          <w:rFonts w:asciiTheme="majorHAnsi" w:hAnsiTheme="majorHAnsi" w:cstheme="majorHAnsi"/>
          <w:color w:val="002060"/>
          <w:sz w:val="22"/>
          <w:szCs w:val="22"/>
        </w:rPr>
        <w:t>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2390EAE4" w14:textId="77777777" w:rsidR="00463ADC" w:rsidRPr="002F5EDE" w:rsidRDefault="00463ADC" w:rsidP="00463ADC">
      <w:pPr>
        <w:ind w:left="284" w:right="827"/>
        <w:jc w:val="both"/>
        <w:rPr>
          <w:rFonts w:asciiTheme="majorHAnsi" w:hAnsiTheme="majorHAnsi" w:cstheme="majorHAnsi"/>
          <w:color w:val="002060"/>
          <w:sz w:val="22"/>
          <w:szCs w:val="22"/>
        </w:rPr>
      </w:pPr>
    </w:p>
    <w:p w14:paraId="098FFFC7" w14:textId="40CD1FF7" w:rsidR="00463ADC"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w:t>
      </w:r>
      <w:r w:rsidR="002F3DDA">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74542BB0" w14:textId="77777777" w:rsidR="00463ADC" w:rsidRDefault="00463ADC" w:rsidP="00463ADC">
      <w:pPr>
        <w:ind w:left="284" w:right="827"/>
        <w:jc w:val="both"/>
        <w:rPr>
          <w:rFonts w:asciiTheme="majorHAnsi" w:hAnsiTheme="majorHAnsi" w:cstheme="majorHAnsi"/>
          <w:color w:val="002060"/>
          <w:sz w:val="22"/>
          <w:szCs w:val="22"/>
        </w:rPr>
      </w:pPr>
    </w:p>
    <w:p w14:paraId="666EE0F1" w14:textId="77777777" w:rsidR="000B25D0" w:rsidRPr="002F5EDE" w:rsidRDefault="000B25D0" w:rsidP="000B25D0">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In the recent Ofsted inspection TGS was rated ‘good’ with the impact of our federation seen as a real strength our two schools</w:t>
      </w:r>
      <w:r w:rsidRPr="002F5EDE">
        <w:rPr>
          <w:rFonts w:asciiTheme="majorHAnsi" w:hAnsiTheme="majorHAnsi" w:cstheme="majorHAnsi"/>
          <w:color w:val="002060"/>
          <w:sz w:val="22"/>
          <w:szCs w:val="22"/>
        </w:rPr>
        <w:t xml:space="preserve">. </w:t>
      </w:r>
      <w:r>
        <w:rPr>
          <w:rFonts w:asciiTheme="majorHAnsi" w:hAnsiTheme="majorHAnsi" w:cstheme="majorHAnsi"/>
          <w:color w:val="002060"/>
          <w:sz w:val="22"/>
          <w:szCs w:val="22"/>
        </w:rPr>
        <w:t>GCSE outcomes are on an upward trajectory and we have this year seen our highest number ever of parents making us their ‘first choice’ for their secondary education.  Working at TGS and being involved in its improvement is not only something teachers find immensely satisfying but is also fantastic experience for those looking towards progressing to leadership roles in the future.</w:t>
      </w:r>
    </w:p>
    <w:p w14:paraId="5EB7225C" w14:textId="77777777" w:rsidR="00463ADC" w:rsidRPr="002F5EDE" w:rsidRDefault="00463ADC" w:rsidP="00463ADC">
      <w:pPr>
        <w:ind w:left="284" w:right="827"/>
        <w:jc w:val="both"/>
        <w:rPr>
          <w:rFonts w:asciiTheme="majorHAnsi" w:hAnsiTheme="majorHAnsi" w:cstheme="majorHAnsi"/>
          <w:color w:val="002060"/>
          <w:sz w:val="22"/>
          <w:szCs w:val="22"/>
        </w:rPr>
      </w:pPr>
    </w:p>
    <w:p w14:paraId="32AE073A" w14:textId="77777777"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95813CF" w14:textId="77777777" w:rsidR="00463ADC" w:rsidRPr="002F5EDE" w:rsidRDefault="00463ADC" w:rsidP="00463ADC">
      <w:pPr>
        <w:ind w:left="284" w:right="827"/>
        <w:jc w:val="both"/>
        <w:rPr>
          <w:rFonts w:asciiTheme="majorHAnsi" w:hAnsiTheme="majorHAnsi" w:cstheme="majorHAnsi"/>
          <w:color w:val="002060"/>
          <w:sz w:val="22"/>
          <w:szCs w:val="22"/>
        </w:rPr>
      </w:pPr>
    </w:p>
    <w:p w14:paraId="22FCE0F1" w14:textId="54EA339D"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w:t>
      </w:r>
      <w:r w:rsidR="002F3DDA" w:rsidRPr="002F5EDE">
        <w:rPr>
          <w:rFonts w:asciiTheme="majorHAnsi" w:hAnsiTheme="majorHAnsi" w:cstheme="majorHAnsi"/>
          <w:color w:val="002060"/>
          <w:sz w:val="22"/>
          <w:szCs w:val="22"/>
        </w:rPr>
        <w:t>all</w:t>
      </w:r>
      <w:r w:rsidRPr="002F5EDE">
        <w:rPr>
          <w:rFonts w:asciiTheme="majorHAnsi" w:hAnsiTheme="majorHAnsi" w:cstheme="majorHAnsi"/>
          <w:color w:val="002060"/>
          <w:sz w:val="22"/>
          <w:szCs w:val="22"/>
        </w:rPr>
        <w:t xml:space="preserve"> our students. Our approach to pedagogy is based on the responsive teaching model, making the very best use of formative assessment to ensure we are acutely aware of what students know, understand and are able to do and, </w:t>
      </w:r>
      <w:r w:rsidRPr="002F5EDE">
        <w:rPr>
          <w:rFonts w:asciiTheme="majorHAnsi" w:hAnsiTheme="majorHAnsi" w:cstheme="majorHAnsi"/>
          <w:color w:val="002060"/>
          <w:sz w:val="22"/>
          <w:szCs w:val="22"/>
        </w:rPr>
        <w:lastRenderedPageBreak/>
        <w:t>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A4E30E0" w14:textId="77777777" w:rsidR="00463ADC" w:rsidRPr="002F5EDE" w:rsidRDefault="00463ADC" w:rsidP="00463ADC">
      <w:pPr>
        <w:ind w:left="284" w:right="827"/>
        <w:jc w:val="both"/>
        <w:rPr>
          <w:rFonts w:asciiTheme="majorHAnsi" w:hAnsiTheme="majorHAnsi" w:cstheme="majorHAnsi"/>
          <w:color w:val="002060"/>
          <w:sz w:val="22"/>
          <w:szCs w:val="22"/>
        </w:rPr>
      </w:pPr>
    </w:p>
    <w:p w14:paraId="04B5EB7A"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The other dimension which runs through Twynham School and TGS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Twynham School and TGS and it is important to understand that this applies as much to the arts as it does to other subjects.</w:t>
      </w:r>
    </w:p>
    <w:p w14:paraId="52176296" w14:textId="77777777" w:rsidR="00463ADC" w:rsidRPr="002F5EDE" w:rsidRDefault="00463ADC" w:rsidP="00463ADC">
      <w:pPr>
        <w:ind w:left="284" w:right="827"/>
        <w:jc w:val="both"/>
        <w:rPr>
          <w:rFonts w:asciiTheme="majorHAnsi" w:hAnsiTheme="majorHAnsi" w:cstheme="majorHAnsi"/>
          <w:color w:val="002060"/>
          <w:sz w:val="22"/>
          <w:szCs w:val="22"/>
        </w:rPr>
      </w:pPr>
    </w:p>
    <w:p w14:paraId="662E0854" w14:textId="27B6D679"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In practice our teachers work as part of one department split across both campuses. </w:t>
      </w:r>
      <w:r w:rsidR="00A21086">
        <w:rPr>
          <w:rFonts w:asciiTheme="majorHAnsi" w:hAnsiTheme="majorHAnsi" w:cstheme="majorHAnsi"/>
          <w:color w:val="002060"/>
          <w:sz w:val="22"/>
          <w:szCs w:val="22"/>
        </w:rPr>
        <w:t xml:space="preserve">This role </w:t>
      </w:r>
      <w:r w:rsidR="000B25D0">
        <w:rPr>
          <w:rFonts w:asciiTheme="majorHAnsi" w:hAnsiTheme="majorHAnsi" w:cstheme="majorHAnsi"/>
          <w:color w:val="002060"/>
          <w:sz w:val="22"/>
          <w:szCs w:val="22"/>
        </w:rPr>
        <w:t>may be based at one or the other school or across both.</w:t>
      </w:r>
      <w:r w:rsidR="00666CEF">
        <w:rPr>
          <w:rFonts w:asciiTheme="majorHAnsi" w:hAnsiTheme="majorHAnsi" w:cstheme="majorHAnsi"/>
          <w:color w:val="002060"/>
          <w:sz w:val="22"/>
          <w:szCs w:val="22"/>
        </w:rPr>
        <w:t xml:space="preserve"> </w:t>
      </w:r>
      <w:r w:rsidR="00EC6C27">
        <w:rPr>
          <w:rFonts w:asciiTheme="majorHAnsi" w:hAnsiTheme="majorHAnsi" w:cstheme="majorHAnsi"/>
          <w:color w:val="002060"/>
          <w:sz w:val="22"/>
          <w:szCs w:val="22"/>
        </w:rPr>
        <w:t xml:space="preserve">Science is a high performing subject at </w:t>
      </w:r>
      <w:r w:rsidR="000B25D0">
        <w:rPr>
          <w:rFonts w:asciiTheme="majorHAnsi" w:hAnsiTheme="majorHAnsi" w:cstheme="majorHAnsi"/>
          <w:color w:val="002060"/>
          <w:sz w:val="22"/>
          <w:szCs w:val="22"/>
        </w:rPr>
        <w:t>both schools</w:t>
      </w:r>
      <w:r w:rsidR="00EC6C27">
        <w:rPr>
          <w:rFonts w:asciiTheme="majorHAnsi" w:hAnsiTheme="majorHAnsi" w:cstheme="majorHAnsi"/>
          <w:color w:val="002060"/>
          <w:sz w:val="22"/>
          <w:szCs w:val="22"/>
        </w:rPr>
        <w:t xml:space="preserve"> and benefits from expertise at A-level across the disciplines</w:t>
      </w:r>
      <w:r w:rsidR="00666CEF">
        <w:rPr>
          <w:rFonts w:asciiTheme="majorHAnsi" w:hAnsiTheme="majorHAnsi" w:cstheme="majorHAnsi"/>
          <w:color w:val="002060"/>
          <w:sz w:val="22"/>
          <w:szCs w:val="22"/>
        </w:rPr>
        <w:t>.</w:t>
      </w:r>
      <w:r w:rsidR="00C24412">
        <w:rPr>
          <w:rFonts w:asciiTheme="majorHAnsi" w:hAnsiTheme="majorHAnsi" w:cstheme="majorHAnsi"/>
          <w:color w:val="002060"/>
          <w:sz w:val="22"/>
          <w:szCs w:val="22"/>
        </w:rPr>
        <w:t xml:space="preserve"> </w:t>
      </w:r>
      <w:r w:rsidR="00EC6C27">
        <w:rPr>
          <w:rFonts w:asciiTheme="majorHAnsi" w:hAnsiTheme="majorHAnsi" w:cstheme="majorHAnsi"/>
          <w:color w:val="002060"/>
          <w:sz w:val="22"/>
          <w:szCs w:val="22"/>
        </w:rPr>
        <w:t>The department is led strategically by the Director of Science and day to day by the Head and Assistant Head of Science</w:t>
      </w:r>
      <w:r w:rsidR="00C24412">
        <w:rPr>
          <w:rFonts w:asciiTheme="majorHAnsi" w:hAnsiTheme="majorHAnsi" w:cstheme="majorHAnsi"/>
          <w:color w:val="002060"/>
          <w:sz w:val="22"/>
          <w:szCs w:val="22"/>
        </w:rPr>
        <w:t>.</w:t>
      </w:r>
      <w:r w:rsidR="00EC6C27">
        <w:rPr>
          <w:rFonts w:asciiTheme="majorHAnsi" w:hAnsiTheme="majorHAnsi" w:cstheme="majorHAnsi"/>
          <w:color w:val="002060"/>
          <w:sz w:val="22"/>
          <w:szCs w:val="22"/>
        </w:rPr>
        <w:t xml:space="preserve"> At Key Stage 5 each of the disciplines is led by a Head of subject. At Key Stage 4 students follow either a Triple or Combined Science pathway and a number of students successfully journey through our ‘medics programme’ at Key Stage 5. With</w:t>
      </w:r>
      <w:r w:rsidR="000B25D0">
        <w:rPr>
          <w:rFonts w:asciiTheme="majorHAnsi" w:hAnsiTheme="majorHAnsi" w:cstheme="majorHAnsi"/>
          <w:color w:val="002060"/>
          <w:sz w:val="22"/>
          <w:szCs w:val="22"/>
        </w:rPr>
        <w:t xml:space="preserve"> </w:t>
      </w:r>
      <w:r w:rsidR="00EC6C27">
        <w:rPr>
          <w:rFonts w:asciiTheme="majorHAnsi" w:hAnsiTheme="majorHAnsi" w:cstheme="majorHAnsi"/>
          <w:color w:val="002060"/>
          <w:sz w:val="22"/>
          <w:szCs w:val="22"/>
        </w:rPr>
        <w:t xml:space="preserve">fully equipped Science labs and a team of technicians, Science is well-regarded within </w:t>
      </w:r>
      <w:r w:rsidR="000B25D0">
        <w:rPr>
          <w:rFonts w:asciiTheme="majorHAnsi" w:hAnsiTheme="majorHAnsi" w:cstheme="majorHAnsi"/>
          <w:color w:val="002060"/>
          <w:sz w:val="22"/>
          <w:szCs w:val="22"/>
        </w:rPr>
        <w:t xml:space="preserve">both </w:t>
      </w:r>
      <w:r w:rsidR="00EC6C27">
        <w:rPr>
          <w:rFonts w:asciiTheme="majorHAnsi" w:hAnsiTheme="majorHAnsi" w:cstheme="majorHAnsi"/>
          <w:color w:val="002060"/>
          <w:sz w:val="22"/>
          <w:szCs w:val="22"/>
        </w:rPr>
        <w:t>school</w:t>
      </w:r>
      <w:r w:rsidR="000B25D0">
        <w:rPr>
          <w:rFonts w:asciiTheme="majorHAnsi" w:hAnsiTheme="majorHAnsi" w:cstheme="majorHAnsi"/>
          <w:color w:val="002060"/>
          <w:sz w:val="22"/>
          <w:szCs w:val="22"/>
        </w:rPr>
        <w:t>s</w:t>
      </w:r>
      <w:r w:rsidR="00EC6C27">
        <w:rPr>
          <w:rFonts w:asciiTheme="majorHAnsi" w:hAnsiTheme="majorHAnsi" w:cstheme="majorHAnsi"/>
          <w:color w:val="002060"/>
          <w:sz w:val="22"/>
          <w:szCs w:val="22"/>
        </w:rPr>
        <w:t>.</w:t>
      </w:r>
      <w:r w:rsidR="00C24412">
        <w:rPr>
          <w:rFonts w:asciiTheme="majorHAnsi" w:hAnsiTheme="majorHAnsi" w:cstheme="majorHAnsi"/>
          <w:color w:val="002060"/>
          <w:sz w:val="22"/>
          <w:szCs w:val="22"/>
        </w:rPr>
        <w:t xml:space="preserve"> </w:t>
      </w:r>
      <w:r w:rsidR="00A21086">
        <w:rPr>
          <w:rFonts w:asciiTheme="majorHAnsi" w:hAnsiTheme="majorHAnsi" w:cstheme="majorHAnsi"/>
          <w:color w:val="002060"/>
          <w:sz w:val="22"/>
          <w:szCs w:val="22"/>
        </w:rPr>
        <w:t xml:space="preserve"> </w:t>
      </w:r>
    </w:p>
    <w:p w14:paraId="0F0277AE" w14:textId="77777777" w:rsidR="00463ADC" w:rsidRPr="002F5EDE" w:rsidRDefault="00463ADC" w:rsidP="00463ADC">
      <w:pPr>
        <w:ind w:left="284" w:right="827"/>
        <w:jc w:val="both"/>
        <w:rPr>
          <w:rFonts w:asciiTheme="majorHAnsi" w:hAnsiTheme="majorHAnsi" w:cstheme="majorHAnsi"/>
          <w:color w:val="002060"/>
          <w:sz w:val="22"/>
          <w:szCs w:val="22"/>
        </w:rPr>
      </w:pPr>
    </w:p>
    <w:p w14:paraId="6CB5F6AB" w14:textId="74807A8C"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 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r>
        <w:rPr>
          <w:rFonts w:asciiTheme="majorHAnsi" w:hAnsiTheme="majorHAnsi" w:cstheme="majorHAnsi"/>
          <w:color w:val="002060"/>
          <w:sz w:val="22"/>
          <w:szCs w:val="22"/>
        </w:rPr>
        <w:t xml:space="preserve"> </w:t>
      </w:r>
    </w:p>
    <w:p w14:paraId="1BC5019F" w14:textId="77777777" w:rsidR="00463ADC" w:rsidRPr="002F5EDE" w:rsidRDefault="00463ADC" w:rsidP="00463ADC">
      <w:pPr>
        <w:ind w:left="284" w:right="827"/>
        <w:jc w:val="both"/>
        <w:rPr>
          <w:rFonts w:asciiTheme="majorHAnsi" w:hAnsiTheme="majorHAnsi" w:cstheme="majorHAnsi"/>
          <w:color w:val="002060"/>
          <w:sz w:val="22"/>
          <w:szCs w:val="22"/>
        </w:rPr>
      </w:pPr>
    </w:p>
    <w:p w14:paraId="6FDC0235" w14:textId="633ED39B"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Historically we have been a national Teaching School but in recent years we have developed our own organisation to support professional learning. Two Rivers Institute, based at TGS, is the central hub for our highly regarding teacher training provision (B</w:t>
      </w:r>
      <w:r w:rsidR="000B25D0">
        <w:rPr>
          <w:rFonts w:asciiTheme="majorHAnsi" w:hAnsiTheme="majorHAnsi" w:cstheme="majorHAnsi"/>
          <w:color w:val="002060"/>
          <w:sz w:val="22"/>
          <w:szCs w:val="22"/>
        </w:rPr>
        <w:t>ournemouth Bay</w:t>
      </w:r>
      <w:r w:rsidRPr="002F5EDE">
        <w:rPr>
          <w:rFonts w:asciiTheme="majorHAnsi" w:hAnsiTheme="majorHAnsi" w:cstheme="majorHAnsi"/>
          <w:color w:val="002060"/>
          <w:sz w:val="22"/>
          <w:szCs w:val="22"/>
        </w:rPr>
        <w:t xml:space="preserve"> SCITT) and is also the base from which we run regular, </w:t>
      </w:r>
      <w:r w:rsidR="00106AA5"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 We </w:t>
      </w:r>
      <w:r w:rsidR="002F3DDA">
        <w:rPr>
          <w:rFonts w:asciiTheme="majorHAnsi" w:hAnsiTheme="majorHAnsi" w:cstheme="majorHAnsi"/>
          <w:color w:val="002060"/>
          <w:sz w:val="22"/>
          <w:szCs w:val="22"/>
        </w:rPr>
        <w:t xml:space="preserve">support </w:t>
      </w:r>
      <w:r w:rsidRPr="002F5EDE">
        <w:rPr>
          <w:rFonts w:asciiTheme="majorHAnsi" w:hAnsiTheme="majorHAnsi" w:cstheme="majorHAnsi"/>
          <w:color w:val="002060"/>
          <w:sz w:val="22"/>
          <w:szCs w:val="22"/>
        </w:rPr>
        <w:t>colleagues ready to step into senior leadership</w:t>
      </w:r>
      <w:r w:rsidR="002F3DDA">
        <w:rPr>
          <w:rFonts w:asciiTheme="majorHAnsi" w:hAnsiTheme="majorHAnsi" w:cstheme="majorHAnsi"/>
          <w:color w:val="002060"/>
          <w:sz w:val="22"/>
          <w:szCs w:val="22"/>
        </w:rPr>
        <w:t xml:space="preserve"> with bespoke training</w:t>
      </w:r>
      <w:r w:rsidRPr="002F5EDE">
        <w:rPr>
          <w:rFonts w:asciiTheme="majorHAnsi" w:hAnsiTheme="majorHAnsi" w:cstheme="majorHAnsi"/>
          <w:color w:val="002060"/>
          <w:sz w:val="22"/>
          <w:szCs w:val="22"/>
        </w:rPr>
        <w:t xml:space="preserve"> and </w:t>
      </w:r>
      <w:r w:rsidR="002F3DDA" w:rsidRPr="002F5EDE">
        <w:rPr>
          <w:rFonts w:asciiTheme="majorHAnsi" w:hAnsiTheme="majorHAnsi" w:cstheme="majorHAnsi"/>
          <w:color w:val="002060"/>
          <w:sz w:val="22"/>
          <w:szCs w:val="22"/>
        </w:rPr>
        <w:t>several</w:t>
      </w:r>
      <w:r w:rsidRPr="002F5EDE">
        <w:rPr>
          <w:rFonts w:asciiTheme="majorHAnsi" w:hAnsiTheme="majorHAnsi" w:cstheme="majorHAnsi"/>
          <w:color w:val="002060"/>
          <w:sz w:val="22"/>
          <w:szCs w:val="22"/>
        </w:rPr>
        <w:t xml:space="preserve"> our support staff have made use of apprenticeship levy funding to further their own professional development.</w:t>
      </w:r>
    </w:p>
    <w:p w14:paraId="664D961A" w14:textId="77777777" w:rsidR="00463ADC" w:rsidRPr="002F5EDE" w:rsidRDefault="00463ADC" w:rsidP="00463ADC">
      <w:pPr>
        <w:ind w:left="284" w:right="827"/>
        <w:jc w:val="both"/>
        <w:rPr>
          <w:rFonts w:asciiTheme="majorHAnsi" w:hAnsiTheme="majorHAnsi" w:cstheme="majorHAnsi"/>
          <w:color w:val="002060"/>
          <w:sz w:val="22"/>
          <w:szCs w:val="22"/>
        </w:rPr>
      </w:pPr>
    </w:p>
    <w:p w14:paraId="49843E2F"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We have been recognised and accredited nationally for our work in engaging with evidence and research and a number of our colleagues have been published for their work in the classroom.</w:t>
      </w:r>
    </w:p>
    <w:p w14:paraId="715269A3" w14:textId="77777777" w:rsidR="00463ADC" w:rsidRPr="002F5EDE" w:rsidRDefault="00463ADC" w:rsidP="00463ADC">
      <w:pPr>
        <w:ind w:left="284" w:right="827"/>
        <w:jc w:val="both"/>
        <w:rPr>
          <w:rFonts w:asciiTheme="majorHAnsi" w:hAnsiTheme="majorHAnsi" w:cstheme="majorHAnsi"/>
          <w:color w:val="002060"/>
          <w:sz w:val="22"/>
          <w:szCs w:val="22"/>
        </w:rPr>
      </w:pPr>
    </w:p>
    <w:p w14:paraId="01AB86E2" w14:textId="7FEA45B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schools and our context are, however, unique and whilst I would encourage you to visit the websites these cannot fully capture all that we do. The only way to get a feel for what we believe in and how we do things is to spend some time with us and meet the people that make our schools such a special place.</w:t>
      </w:r>
    </w:p>
    <w:p w14:paraId="2C623889" w14:textId="77777777" w:rsidR="00463ADC" w:rsidRPr="002F5EDE" w:rsidRDefault="00463ADC" w:rsidP="00463ADC">
      <w:pPr>
        <w:ind w:left="284" w:right="827"/>
        <w:jc w:val="both"/>
        <w:rPr>
          <w:rFonts w:asciiTheme="majorHAnsi" w:hAnsiTheme="majorHAnsi" w:cstheme="majorHAnsi"/>
          <w:color w:val="002060"/>
          <w:sz w:val="22"/>
          <w:szCs w:val="22"/>
        </w:rPr>
      </w:pPr>
    </w:p>
    <w:p w14:paraId="4F1FAE99"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0D79F15C" w14:textId="77777777" w:rsidR="00463ADC" w:rsidRPr="002F5EDE" w:rsidRDefault="00463ADC" w:rsidP="00463ADC">
      <w:pPr>
        <w:ind w:left="284" w:right="827"/>
        <w:jc w:val="both"/>
        <w:rPr>
          <w:rFonts w:asciiTheme="majorHAnsi" w:hAnsiTheme="majorHAnsi" w:cstheme="majorHAnsi"/>
          <w:color w:val="002060"/>
          <w:sz w:val="22"/>
          <w:szCs w:val="22"/>
        </w:rPr>
      </w:pPr>
    </w:p>
    <w:p w14:paraId="1F78FB9D" w14:textId="77777777" w:rsidR="000B25D0" w:rsidRPr="002F5EDE" w:rsidRDefault="000B25D0" w:rsidP="000B25D0">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4FAA81EA" w14:textId="6B3829F7" w:rsidR="00672AC3" w:rsidRDefault="00672AC3" w:rsidP="000B25D0">
      <w:pPr>
        <w:ind w:left="284" w:right="827"/>
        <w:jc w:val="both"/>
        <w:rPr>
          <w:rFonts w:asciiTheme="majorHAnsi" w:hAnsiTheme="majorHAnsi" w:cstheme="majorHAnsi"/>
          <w:color w:val="002060"/>
          <w:sz w:val="22"/>
          <w:szCs w:val="22"/>
        </w:rPr>
      </w:pPr>
    </w:p>
    <w:p w14:paraId="64AEDC58" w14:textId="2348004D" w:rsidR="00672AC3" w:rsidRDefault="00672AC3" w:rsidP="000B25D0">
      <w:pPr>
        <w:ind w:left="284" w:right="827"/>
        <w:jc w:val="both"/>
        <w:rPr>
          <w:rFonts w:asciiTheme="majorHAnsi" w:hAnsiTheme="majorHAnsi" w:cstheme="majorHAnsi"/>
          <w:color w:val="002060"/>
          <w:sz w:val="22"/>
          <w:szCs w:val="22"/>
        </w:rPr>
      </w:pPr>
      <w:r>
        <w:rPr>
          <w:noProof/>
        </w:rPr>
        <w:drawing>
          <wp:anchor distT="0" distB="0" distL="114300" distR="114300" simplePos="0" relativeHeight="251658240" behindDoc="1" locked="0" layoutInCell="1" allowOverlap="1" wp14:anchorId="1C4045C5" wp14:editId="32DE77A6">
            <wp:simplePos x="0" y="0"/>
            <wp:positionH relativeFrom="column">
              <wp:posOffset>180975</wp:posOffset>
            </wp:positionH>
            <wp:positionV relativeFrom="paragraph">
              <wp:posOffset>-4445</wp:posOffset>
            </wp:positionV>
            <wp:extent cx="994995"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4995" cy="615950"/>
                    </a:xfrm>
                    <a:prstGeom prst="rect">
                      <a:avLst/>
                    </a:prstGeom>
                  </pic:spPr>
                </pic:pic>
              </a:graphicData>
            </a:graphic>
            <wp14:sizeRelH relativeFrom="page">
              <wp14:pctWidth>0</wp14:pctWidth>
            </wp14:sizeRelH>
            <wp14:sizeRelV relativeFrom="page">
              <wp14:pctHeight>0</wp14:pctHeight>
            </wp14:sizeRelV>
          </wp:anchor>
        </w:drawing>
      </w:r>
    </w:p>
    <w:p w14:paraId="46E070D2" w14:textId="77777777" w:rsidR="00672AC3" w:rsidRDefault="00672AC3" w:rsidP="000B25D0">
      <w:pPr>
        <w:ind w:left="284" w:right="827"/>
        <w:jc w:val="both"/>
        <w:rPr>
          <w:rFonts w:asciiTheme="majorHAnsi" w:hAnsiTheme="majorHAnsi" w:cstheme="majorHAnsi"/>
          <w:color w:val="002060"/>
          <w:sz w:val="22"/>
          <w:szCs w:val="22"/>
        </w:rPr>
      </w:pPr>
    </w:p>
    <w:p w14:paraId="780014FE" w14:textId="77777777" w:rsidR="00672AC3" w:rsidRDefault="00672AC3" w:rsidP="000B25D0">
      <w:pPr>
        <w:ind w:left="284" w:right="827"/>
        <w:jc w:val="both"/>
        <w:rPr>
          <w:rFonts w:asciiTheme="majorHAnsi" w:hAnsiTheme="majorHAnsi" w:cstheme="majorHAnsi"/>
          <w:color w:val="002060"/>
          <w:sz w:val="22"/>
          <w:szCs w:val="22"/>
        </w:rPr>
      </w:pPr>
    </w:p>
    <w:p w14:paraId="52DFF3CF" w14:textId="77777777" w:rsidR="00672AC3" w:rsidRDefault="00672AC3" w:rsidP="000B25D0">
      <w:pPr>
        <w:ind w:left="284" w:right="827"/>
        <w:jc w:val="both"/>
        <w:rPr>
          <w:rFonts w:asciiTheme="majorHAnsi" w:hAnsiTheme="majorHAnsi" w:cstheme="majorHAnsi"/>
          <w:color w:val="002060"/>
          <w:sz w:val="22"/>
          <w:szCs w:val="22"/>
        </w:rPr>
      </w:pPr>
    </w:p>
    <w:p w14:paraId="7DE78E3E" w14:textId="4499946D" w:rsidR="000B25D0" w:rsidRDefault="000B25D0" w:rsidP="000B25D0">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Associate Headteacher </w:t>
      </w:r>
      <w:r w:rsidR="00672AC3">
        <w:rPr>
          <w:rFonts w:asciiTheme="majorHAnsi" w:hAnsiTheme="majorHAnsi" w:cstheme="majorHAnsi"/>
          <w:color w:val="002060"/>
          <w:sz w:val="22"/>
          <w:szCs w:val="22"/>
        </w:rPr>
        <w:t>(Twynham School)</w:t>
      </w:r>
    </w:p>
    <w:p w14:paraId="7D3F9F3F" w14:textId="77777777" w:rsidR="00106AA5" w:rsidRDefault="00106AA5" w:rsidP="00106AA5">
      <w:pPr>
        <w:rPr>
          <w:rFonts w:asciiTheme="majorHAnsi" w:hAnsiTheme="majorHAnsi" w:cstheme="majorHAnsi"/>
          <w:color w:val="002060"/>
          <w:sz w:val="22"/>
          <w:szCs w:val="22"/>
        </w:rPr>
      </w:pPr>
    </w:p>
    <w:p w14:paraId="3B715322" w14:textId="0CCD2BF4" w:rsidR="00106AA5" w:rsidRPr="00106AA5" w:rsidRDefault="00106AA5" w:rsidP="00106AA5">
      <w:pPr>
        <w:tabs>
          <w:tab w:val="center" w:pos="5233"/>
        </w:tabs>
        <w:rPr>
          <w:rFonts w:asciiTheme="majorHAnsi" w:hAnsiTheme="majorHAnsi" w:cstheme="majorHAnsi"/>
          <w:sz w:val="22"/>
          <w:szCs w:val="22"/>
        </w:rPr>
        <w:sectPr w:rsidR="00106AA5" w:rsidRPr="00106AA5" w:rsidSect="00C249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397" w:left="720" w:header="357" w:footer="709" w:gutter="0"/>
          <w:cols w:space="708"/>
          <w:titlePg/>
          <w:docGrid w:linePitch="360"/>
        </w:sectPr>
      </w:pPr>
      <w:r>
        <w:rPr>
          <w:rFonts w:asciiTheme="majorHAnsi" w:hAnsiTheme="majorHAnsi" w:cstheme="majorHAnsi"/>
          <w:sz w:val="22"/>
          <w:szCs w:val="22"/>
        </w:rPr>
        <w:tab/>
      </w:r>
    </w:p>
    <w:p w14:paraId="058F106E"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7"/>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AF51" w14:textId="77777777" w:rsidR="00B63DF3" w:rsidRDefault="00B63DF3">
      <w:r>
        <w:separator/>
      </w:r>
    </w:p>
  </w:endnote>
  <w:endnote w:type="continuationSeparator" w:id="0">
    <w:p w14:paraId="1AC9556D"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F0D4"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B10B" w14:textId="77777777" w:rsidR="00237A78" w:rsidRDefault="00B63DF3">
    <w:pPr>
      <w:pStyle w:val="Footer"/>
    </w:pPr>
    <w:r>
      <w:rPr>
        <w:noProof/>
        <w:lang w:eastAsia="en-GB"/>
      </w:rPr>
      <w:drawing>
        <wp:anchor distT="0" distB="0" distL="114300" distR="114300" simplePos="0" relativeHeight="251664384" behindDoc="1" locked="0" layoutInCell="1" allowOverlap="1" wp14:anchorId="7A7E7245" wp14:editId="5FF2CBE8">
          <wp:simplePos x="0" y="0"/>
          <wp:positionH relativeFrom="page">
            <wp:align>left</wp:align>
          </wp:positionH>
          <wp:positionV relativeFrom="page">
            <wp:align>bottom</wp:align>
          </wp:positionV>
          <wp:extent cx="7585200" cy="853200"/>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82C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2762D0A2" wp14:editId="14EAAD22">
          <wp:simplePos x="0" y="0"/>
          <wp:positionH relativeFrom="column">
            <wp:posOffset>0</wp:posOffset>
          </wp:positionH>
          <wp:positionV relativeFrom="paragraph">
            <wp:posOffset>-12789</wp:posOffset>
          </wp:positionV>
          <wp:extent cx="6645910" cy="891540"/>
          <wp:effectExtent l="0" t="0" r="254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182B1396" w14:textId="77777777" w:rsidR="00C249FE" w:rsidRDefault="00C249FE">
    <w:pPr>
      <w:pStyle w:val="Footer"/>
      <w:rPr>
        <w:noProof/>
        <w:lang w:eastAsia="en-GB"/>
      </w:rPr>
    </w:pPr>
  </w:p>
  <w:p w14:paraId="479B236E" w14:textId="77777777" w:rsidR="00C249FE" w:rsidRDefault="00C249FE">
    <w:pPr>
      <w:pStyle w:val="Footer"/>
      <w:rPr>
        <w:noProof/>
        <w:lang w:eastAsia="en-GB"/>
      </w:rPr>
    </w:pPr>
  </w:p>
  <w:p w14:paraId="25AB06CF"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ED9A" w14:textId="77777777" w:rsidR="00B63DF3" w:rsidRDefault="00B63DF3">
      <w:r>
        <w:separator/>
      </w:r>
    </w:p>
  </w:footnote>
  <w:footnote w:type="continuationSeparator" w:id="0">
    <w:p w14:paraId="4B2959D5"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45FA"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051"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A433"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00857374" wp14:editId="1AAAD966">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C410F2"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DB94"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0B25D0"/>
    <w:rsid w:val="00106AA5"/>
    <w:rsid w:val="001B18E7"/>
    <w:rsid w:val="001E5550"/>
    <w:rsid w:val="00237A78"/>
    <w:rsid w:val="002F3DDA"/>
    <w:rsid w:val="00463ADC"/>
    <w:rsid w:val="00666CEF"/>
    <w:rsid w:val="00672AC3"/>
    <w:rsid w:val="008B3A42"/>
    <w:rsid w:val="00957F5D"/>
    <w:rsid w:val="00A21086"/>
    <w:rsid w:val="00B63DF3"/>
    <w:rsid w:val="00BE4168"/>
    <w:rsid w:val="00C053A0"/>
    <w:rsid w:val="00C24412"/>
    <w:rsid w:val="00C249FE"/>
    <w:rsid w:val="00D255E0"/>
    <w:rsid w:val="00D42E39"/>
    <w:rsid w:val="00DA52F4"/>
    <w:rsid w:val="00DC44E3"/>
    <w:rsid w:val="00E70000"/>
    <w:rsid w:val="00EC6C27"/>
    <w:rsid w:val="00E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8A4F0A"/>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901">
      <w:bodyDiv w:val="1"/>
      <w:marLeft w:val="0"/>
      <w:marRight w:val="0"/>
      <w:marTop w:val="0"/>
      <w:marBottom w:val="0"/>
      <w:divBdr>
        <w:top w:val="none" w:sz="0" w:space="0" w:color="auto"/>
        <w:left w:val="none" w:sz="0" w:space="0" w:color="auto"/>
        <w:bottom w:val="none" w:sz="0" w:space="0" w:color="auto"/>
        <w:right w:val="none" w:sz="0" w:space="0" w:color="auto"/>
      </w:divBdr>
    </w:div>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E268E-7751-4994-8C4D-DC211343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BF217-E220-4D11-B4B0-60A8D4057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FA082-3655-4221-857F-AFEDCB611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2024-03-27T12:57:00Z</dcterms:created>
  <dcterms:modified xsi:type="dcterms:W3CDTF">2024-03-27T12:57:00Z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