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77D9" w14:textId="77777777" w:rsidR="00770648" w:rsidRPr="00C13C13" w:rsidRDefault="00770648" w:rsidP="00770648">
      <w:pPr>
        <w:pStyle w:val="NoSpacing"/>
        <w:pBdr>
          <w:bottom w:val="single" w:sz="12" w:space="1" w:color="auto"/>
        </w:pBdr>
        <w:jc w:val="both"/>
        <w:rPr>
          <w:rFonts w:ascii="Century Gothic" w:eastAsia="Corbel" w:hAnsi="Century Gothic" w:cs="Corbel"/>
          <w:b/>
          <w:b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sz w:val="24"/>
          <w:szCs w:val="24"/>
        </w:rPr>
        <w:t>Person Specification</w:t>
      </w:r>
    </w:p>
    <w:p w14:paraId="162CB21A" w14:textId="77777777" w:rsidR="00770648" w:rsidRPr="00C13C13" w:rsidRDefault="00770648" w:rsidP="00770648">
      <w:pPr>
        <w:overflowPunct/>
        <w:autoSpaceDE/>
        <w:autoSpaceDN/>
        <w:adjustRightInd/>
        <w:jc w:val="both"/>
        <w:textAlignment w:val="auto"/>
        <w:rPr>
          <w:rFonts w:ascii="Century Gothic" w:eastAsiaTheme="minorHAnsi" w:hAnsi="Century Gothic" w:cstheme="minorBidi"/>
          <w:sz w:val="24"/>
          <w:szCs w:val="24"/>
        </w:rPr>
      </w:pPr>
      <w:r w:rsidRPr="00C13C13">
        <w:rPr>
          <w:rFonts w:ascii="Century Gothic" w:eastAsiaTheme="minorHAnsi" w:hAnsi="Century Gothic" w:cstheme="minorBidi"/>
          <w:sz w:val="24"/>
          <w:szCs w:val="24"/>
        </w:rPr>
        <w:tab/>
      </w:r>
    </w:p>
    <w:tbl>
      <w:tblPr>
        <w:tblW w:w="9924" w:type="dxa"/>
        <w:tblBorders>
          <w:top w:val="single" w:sz="4" w:space="0" w:color="D09CC9"/>
          <w:left w:val="single" w:sz="4" w:space="0" w:color="D09CC9"/>
          <w:bottom w:val="single" w:sz="4" w:space="0" w:color="D09CC9"/>
          <w:right w:val="single" w:sz="4" w:space="0" w:color="D09CC9"/>
          <w:insideH w:val="single" w:sz="4" w:space="0" w:color="D09CC9"/>
          <w:insideV w:val="single" w:sz="4" w:space="0" w:color="D09CC9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17"/>
        <w:gridCol w:w="1424"/>
      </w:tblGrid>
      <w:tr w:rsidR="00770648" w:rsidRPr="00C13C13" w14:paraId="48E43A69" w14:textId="77777777" w:rsidTr="00D42973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4BB942FF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1D4C0948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090CBE11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770648" w:rsidRPr="00C13C13" w14:paraId="48DC0B8F" w14:textId="77777777" w:rsidTr="00D42973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76A1BCBC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Qualified teacher status in the UK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27C65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6FB1185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526617C2" w14:textId="77777777" w:rsidTr="00D42973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3CB44A89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Evidence of recent participation in a range of relevant in-service training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9C3E96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419F202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</w:tr>
      <w:tr w:rsidR="00770648" w:rsidRPr="00C13C13" w14:paraId="6542EF80" w14:textId="77777777" w:rsidTr="00D42973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31AA4FEF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Professional knowledge, skills and understanding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6DC95139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5F3DE9E5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770648" w:rsidRPr="00C13C13" w14:paraId="5274B435" w14:textId="77777777" w:rsidTr="00D42973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53EADE43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Demonstrate success in raising achievement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5D853B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42CD20EB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3FC75C8B" w14:textId="77777777" w:rsidTr="00D42973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6232311D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The ability to create an outstanding learning and teaching environment for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, including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SEND children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9319E6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85569C4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333DAF4D" w14:textId="77777777" w:rsidTr="00D42973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5E362041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Knowledge of the National Curriculum and appropriate interventions for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to achieve success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803CB2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1BA565C3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61573D62" w14:textId="77777777" w:rsidTr="00D42973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607ADF0F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Strong behaviour management skills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CC243B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696C6DA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7BCA5BB6" w14:textId="77777777" w:rsidTr="00D42973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6ADACE89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67325A39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11BC31AC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770648" w:rsidRPr="00C13C13" w14:paraId="1714AACA" w14:textId="77777777" w:rsidTr="00D42973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1D2D5938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Experience of working in a primary setting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475CF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5EE87671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</w:tr>
      <w:tr w:rsidR="00770648" w:rsidRPr="00C13C13" w14:paraId="4E820A07" w14:textId="77777777" w:rsidTr="00D42973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0EE8C3C7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12AB6C35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5562E899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770648" w:rsidRPr="00C13C13" w14:paraId="72FDA72B" w14:textId="77777777" w:rsidTr="00D42973">
        <w:trPr>
          <w:trHeight w:val="567"/>
        </w:trPr>
        <w:tc>
          <w:tcPr>
            <w:tcW w:w="7083" w:type="dxa"/>
            <w:shd w:val="clear" w:color="auto" w:fill="auto"/>
          </w:tcPr>
          <w:p w14:paraId="6DC77D37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High quality communication skills with the ability to develop positive relationships with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parents</w:t>
            </w:r>
            <w:proofErr w:type="gramEnd"/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and peers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1B9C8C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3515A2F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57F1A2D9" w14:textId="77777777" w:rsidTr="00D42973">
        <w:trPr>
          <w:trHeight w:val="567"/>
        </w:trPr>
        <w:tc>
          <w:tcPr>
            <w:tcW w:w="7083" w:type="dxa"/>
            <w:shd w:val="clear" w:color="auto" w:fill="auto"/>
            <w:vAlign w:val="center"/>
          </w:tcPr>
          <w:p w14:paraId="0803249F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 sense of humour and a good sense of well-being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08EF2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O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998DA0A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334E367B" w14:textId="77777777" w:rsidTr="00D42973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6C014A47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High Expectations of self and others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088B71C5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68983C4D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770648" w:rsidRPr="00C13C13" w14:paraId="2850E75A" w14:textId="77777777" w:rsidTr="00D42973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5A8CE4B9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 flexible and adaptable approach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2F7774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R O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A068CB6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722A3A3E" w14:textId="77777777" w:rsidTr="00D42973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42C83B3E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An innovator with the desire to continue to learn and develop within the professional role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95814F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08E67A1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79943427" w14:textId="77777777" w:rsidTr="00D42973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5909438D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Resilience and the determination to be successful within this role and ambitious for the </w:t>
            </w:r>
            <w:proofErr w:type="gramStart"/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School</w:t>
            </w:r>
            <w:proofErr w:type="gramEnd"/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 xml:space="preserve"> and its </w:t>
            </w:r>
            <w:r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children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71544F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DBC3D9B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0FDC643A" w14:textId="77777777" w:rsidTr="00D42973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45A1BBFF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hAnsi="Century Gothic"/>
                <w:sz w:val="24"/>
                <w:szCs w:val="24"/>
              </w:rPr>
              <w:br w:type="page"/>
            </w:r>
            <w:r w:rsidRPr="00C13C13"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Safeguarding </w:t>
            </w:r>
            <w:r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Children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68B5FAFA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286A44C1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770648" w:rsidRPr="00C13C13" w14:paraId="5EB111E4" w14:textId="77777777" w:rsidTr="00D42973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14FDBCD2" w14:textId="77777777" w:rsidR="00770648" w:rsidRPr="00963659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Committed to safeguarding and promoting the welfare of children and young people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417D28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A I O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1C6B6291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  <w:tr w:rsidR="00770648" w:rsidRPr="00C13C13" w14:paraId="47310582" w14:textId="77777777" w:rsidTr="00D42973">
        <w:trPr>
          <w:trHeight w:val="567"/>
        </w:trPr>
        <w:tc>
          <w:tcPr>
            <w:tcW w:w="7083" w:type="dxa"/>
            <w:shd w:val="clear" w:color="auto" w:fill="A29ED4" w:themeFill="accent4" w:themeFillTint="99"/>
            <w:vAlign w:val="center"/>
          </w:tcPr>
          <w:p w14:paraId="4A084107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Equality of Opportunity</w:t>
            </w:r>
          </w:p>
        </w:tc>
        <w:tc>
          <w:tcPr>
            <w:tcW w:w="1417" w:type="dxa"/>
            <w:shd w:val="clear" w:color="auto" w:fill="A29ED4" w:themeFill="accent4" w:themeFillTint="99"/>
            <w:vAlign w:val="center"/>
          </w:tcPr>
          <w:p w14:paraId="39B38448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424" w:type="dxa"/>
            <w:shd w:val="clear" w:color="auto" w:fill="A29ED4" w:themeFill="accent4" w:themeFillTint="99"/>
            <w:vAlign w:val="center"/>
          </w:tcPr>
          <w:p w14:paraId="36E696B9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Desirable</w:t>
            </w:r>
          </w:p>
        </w:tc>
      </w:tr>
      <w:tr w:rsidR="00770648" w:rsidRPr="00C13C13" w14:paraId="47FD7EAB" w14:textId="77777777" w:rsidTr="00D42973">
        <w:trPr>
          <w:trHeight w:val="567"/>
        </w:trPr>
        <w:tc>
          <w:tcPr>
            <w:tcW w:w="7083" w:type="dxa"/>
            <w:shd w:val="clear" w:color="auto" w:fill="FFFFFF" w:themeFill="background1"/>
            <w:vAlign w:val="center"/>
          </w:tcPr>
          <w:p w14:paraId="3EAD1EF3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i/>
                <w:iCs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i/>
                <w:iCs/>
                <w:sz w:val="24"/>
                <w:szCs w:val="24"/>
                <w:lang w:eastAsia="en-GB"/>
              </w:rPr>
              <w:t>The ability to ensure that there is equality of access to educational attainment and that all aspects of equal opportunities are adhered to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891823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orbel,Calibri" w:hAnsi="Century Gothic" w:cs="Corbel,Calibri"/>
                <w:sz w:val="24"/>
                <w:szCs w:val="24"/>
                <w:lang w:eastAsia="en-GB"/>
              </w:rPr>
            </w:pPr>
            <w:r w:rsidRPr="00C13C13">
              <w:rPr>
                <w:rFonts w:ascii="Century Gothic" w:eastAsia="Corbel" w:hAnsi="Century Gothic" w:cs="Corbel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06FB19C" w14:textId="77777777" w:rsidR="00770648" w:rsidRPr="00C13C13" w:rsidRDefault="00770648" w:rsidP="00D4297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eastAsia="Calibri" w:hAnsi="Century Gothic" w:cstheme="minorHAnsi"/>
                <w:sz w:val="24"/>
                <w:szCs w:val="24"/>
                <w:lang w:eastAsia="en-GB"/>
              </w:rPr>
            </w:pPr>
          </w:p>
        </w:tc>
      </w:tr>
    </w:tbl>
    <w:p w14:paraId="62F14D85" w14:textId="77777777" w:rsidR="00770648" w:rsidRPr="00C13C13" w:rsidRDefault="00770648" w:rsidP="00770648">
      <w:pPr>
        <w:tabs>
          <w:tab w:val="left" w:pos="426"/>
          <w:tab w:val="left" w:pos="709"/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A = assessed through the application process</w:t>
      </w:r>
    </w:p>
    <w:p w14:paraId="5E37DAA1" w14:textId="77777777" w:rsidR="00770648" w:rsidRPr="00C13C13" w:rsidRDefault="00770648" w:rsidP="00770648">
      <w:pPr>
        <w:tabs>
          <w:tab w:val="left" w:pos="426"/>
          <w:tab w:val="left" w:pos="709"/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I = assessed through the interview process</w:t>
      </w:r>
    </w:p>
    <w:p w14:paraId="1FCB413C" w14:textId="77777777" w:rsidR="00770648" w:rsidRPr="00C13C13" w:rsidRDefault="00770648" w:rsidP="00770648">
      <w:pPr>
        <w:tabs>
          <w:tab w:val="left" w:pos="3544"/>
          <w:tab w:val="left" w:pos="3828"/>
        </w:tabs>
        <w:jc w:val="both"/>
        <w:rPr>
          <w:rFonts w:ascii="Century Gothic" w:eastAsia="Corbel,Calibri" w:hAnsi="Century Gothic" w:cs="Corbel,Calibri"/>
          <w:b/>
          <w:bCs/>
          <w:i/>
          <w:iCs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R = assessed through the receipt of satisfactory references</w:t>
      </w:r>
    </w:p>
    <w:p w14:paraId="5392601B" w14:textId="77777777" w:rsidR="00770648" w:rsidRPr="00963659" w:rsidRDefault="00770648" w:rsidP="00770648">
      <w:pPr>
        <w:tabs>
          <w:tab w:val="left" w:pos="3544"/>
          <w:tab w:val="left" w:pos="3828"/>
        </w:tabs>
        <w:jc w:val="both"/>
        <w:rPr>
          <w:rFonts w:ascii="Century Gothic" w:eastAsia="Corbel" w:hAnsi="Century Gothic" w:cs="Corbel"/>
          <w:sz w:val="24"/>
          <w:szCs w:val="24"/>
        </w:rPr>
      </w:pPr>
      <w:r w:rsidRPr="00C13C13">
        <w:rPr>
          <w:rFonts w:ascii="Century Gothic" w:eastAsia="Corbel" w:hAnsi="Century Gothic" w:cs="Corbel"/>
          <w:b/>
          <w:bCs/>
          <w:i/>
          <w:iCs/>
          <w:sz w:val="24"/>
          <w:szCs w:val="24"/>
        </w:rPr>
        <w:t>O = observation</w:t>
      </w:r>
    </w:p>
    <w:p w14:paraId="317DC653" w14:textId="77777777" w:rsidR="00770648" w:rsidRPr="00963659" w:rsidRDefault="00770648" w:rsidP="00770648">
      <w:pPr>
        <w:tabs>
          <w:tab w:val="left" w:pos="426"/>
          <w:tab w:val="left" w:pos="709"/>
        </w:tabs>
        <w:jc w:val="both"/>
        <w:rPr>
          <w:rFonts w:ascii="Corbel" w:hAnsi="Corbel"/>
        </w:rPr>
      </w:pPr>
      <w:r w:rsidRPr="00C13C13">
        <w:rPr>
          <w:rFonts w:ascii="Century Gothic" w:hAnsi="Century Gothic" w:cstheme="minorHAnsi"/>
          <w:i/>
          <w:sz w:val="24"/>
          <w:szCs w:val="24"/>
        </w:rPr>
        <w:br w:type="page"/>
      </w:r>
      <w:r>
        <w:rPr>
          <w:rFonts w:ascii="Corbel" w:hAnsi="Corbel"/>
        </w:rPr>
        <w:lastRenderedPageBreak/>
        <w:t xml:space="preserve"> </w:t>
      </w:r>
    </w:p>
    <w:p w14:paraId="412E21D0" w14:textId="77777777" w:rsidR="00770648" w:rsidRPr="000376D2" w:rsidRDefault="00770648" w:rsidP="00770648">
      <w:pPr>
        <w:tabs>
          <w:tab w:val="left" w:pos="426"/>
          <w:tab w:val="left" w:pos="709"/>
        </w:tabs>
        <w:jc w:val="both"/>
        <w:rPr>
          <w:rFonts w:ascii="Century Gothic" w:eastAsia="Corbel,Calibri" w:hAnsi="Century Gothic" w:cs="Corbel,Calibri"/>
          <w:sz w:val="24"/>
          <w:szCs w:val="24"/>
        </w:rPr>
      </w:pPr>
      <w:r w:rsidRPr="000376D2">
        <w:rPr>
          <w:rFonts w:ascii="Century Gothic" w:eastAsia="Corbel" w:hAnsi="Century Gothic" w:cs="Corbel"/>
          <w:b/>
          <w:bCs/>
          <w:sz w:val="24"/>
          <w:szCs w:val="24"/>
        </w:rPr>
        <w:t>The Application Process</w:t>
      </w:r>
    </w:p>
    <w:p w14:paraId="21D4033A" w14:textId="77777777" w:rsidR="00770648" w:rsidRPr="000376D2" w:rsidRDefault="00770648" w:rsidP="00770648">
      <w:pPr>
        <w:jc w:val="both"/>
        <w:rPr>
          <w:rFonts w:ascii="Century Gothic" w:hAnsi="Century Gothic"/>
          <w:sz w:val="24"/>
          <w:szCs w:val="24"/>
        </w:rPr>
      </w:pPr>
    </w:p>
    <w:p w14:paraId="5D8C99AA" w14:textId="77777777" w:rsidR="00770648" w:rsidRPr="006A5C77" w:rsidRDefault="00770648" w:rsidP="00770648">
      <w:pPr>
        <w:pStyle w:val="NoSpacing"/>
        <w:jc w:val="both"/>
        <w:rPr>
          <w:rFonts w:ascii="Century Gothic" w:eastAsia="Corbel" w:hAnsi="Century Gothic" w:cs="Corbel"/>
          <w:sz w:val="24"/>
          <w:szCs w:val="24"/>
        </w:rPr>
      </w:pPr>
      <w:r w:rsidRPr="000376D2">
        <w:rPr>
          <w:rFonts w:ascii="Century Gothic" w:eastAsia="Corbel" w:hAnsi="Century Gothic" w:cs="Corbel"/>
          <w:sz w:val="24"/>
          <w:szCs w:val="24"/>
        </w:rPr>
        <w:t>Visits are welcome</w:t>
      </w:r>
      <w:r>
        <w:rPr>
          <w:rFonts w:ascii="Century Gothic" w:eastAsia="Corbel" w:hAnsi="Century Gothic" w:cs="Corbel"/>
          <w:sz w:val="24"/>
          <w:szCs w:val="24"/>
        </w:rPr>
        <w:t xml:space="preserve"> at 4pm on Wednesday 23</w:t>
      </w:r>
      <w:r w:rsidRPr="00963659">
        <w:rPr>
          <w:rFonts w:ascii="Century Gothic" w:eastAsia="Corbel" w:hAnsi="Century Gothic" w:cs="Corbel"/>
          <w:sz w:val="24"/>
          <w:szCs w:val="24"/>
          <w:vertAlign w:val="superscript"/>
        </w:rPr>
        <w:t>rd</w:t>
      </w:r>
      <w:r>
        <w:rPr>
          <w:rFonts w:ascii="Century Gothic" w:eastAsia="Corbel" w:hAnsi="Century Gothic" w:cs="Corbel"/>
          <w:sz w:val="24"/>
          <w:szCs w:val="24"/>
        </w:rPr>
        <w:t xml:space="preserve"> April. Please do call the school office to book a place.</w:t>
      </w:r>
    </w:p>
    <w:p w14:paraId="75F0078A" w14:textId="77777777" w:rsidR="00770648" w:rsidRPr="000376D2" w:rsidRDefault="00770648" w:rsidP="00770648">
      <w:pPr>
        <w:jc w:val="both"/>
        <w:rPr>
          <w:rFonts w:ascii="Century Gothic" w:hAnsi="Century Gothic"/>
          <w:sz w:val="24"/>
          <w:szCs w:val="24"/>
        </w:rPr>
      </w:pPr>
    </w:p>
    <w:p w14:paraId="145E31D8" w14:textId="77777777" w:rsidR="00770648" w:rsidRPr="000376D2" w:rsidRDefault="00770648" w:rsidP="00770648">
      <w:pPr>
        <w:jc w:val="both"/>
        <w:rPr>
          <w:rFonts w:ascii="Century Gothic" w:hAnsi="Century Gothic"/>
          <w:sz w:val="24"/>
          <w:szCs w:val="24"/>
        </w:rPr>
      </w:pPr>
    </w:p>
    <w:p w14:paraId="35DB24C3" w14:textId="77777777" w:rsidR="00770648" w:rsidRDefault="00770648"/>
    <w:sectPr w:rsidR="00770648">
      <w:foot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,Calibri">
    <w:altName w:val="Corbe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939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AF6EB" w14:textId="77777777" w:rsidR="00D64537" w:rsidRDefault="007706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CF9234" w14:textId="77777777" w:rsidR="00D64537" w:rsidRDefault="007706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48"/>
    <w:rsid w:val="0077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2E3B"/>
  <w15:chartTrackingRefBased/>
  <w15:docId w15:val="{91BA4D00-6587-4570-8637-50CAD2AE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6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0648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0648"/>
  </w:style>
  <w:style w:type="paragraph" w:styleId="NoSpacing">
    <w:name w:val="No Spacing"/>
    <w:uiPriority w:val="1"/>
    <w:qFormat/>
    <w:rsid w:val="00770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Balderson</dc:creator>
  <cp:keywords/>
  <dc:description/>
  <cp:lastModifiedBy>Julie Balderson</cp:lastModifiedBy>
  <cp:revision>1</cp:revision>
  <dcterms:created xsi:type="dcterms:W3CDTF">2025-04-04T16:48:00Z</dcterms:created>
  <dcterms:modified xsi:type="dcterms:W3CDTF">2025-04-04T16:49:00Z</dcterms:modified>
</cp:coreProperties>
</file>