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6708F0" w:rsidRDefault="001C665F">
      <w:pPr>
        <w:rPr>
          <w:rFonts w:ascii="Calibri" w:hAnsi="Calibri" w:cs="Calibri"/>
          <w:b/>
          <w:bCs/>
          <w:color w:val="000000" w:themeColor="text1"/>
        </w:rPr>
      </w:pPr>
    </w:p>
    <w:p w14:paraId="389FA2B9" w14:textId="603CDC14" w:rsidR="006141BA" w:rsidRPr="006708F0" w:rsidRDefault="0064335B" w:rsidP="00F571FC">
      <w:pPr>
        <w:jc w:val="center"/>
        <w:rPr>
          <w:rFonts w:ascii="Calibri" w:hAnsi="Calibri" w:cs="Calibri"/>
          <w:b/>
          <w:bCs/>
          <w:color w:val="000000" w:themeColor="text1"/>
        </w:rPr>
      </w:pPr>
      <w:r>
        <w:rPr>
          <w:rFonts w:ascii="Calibri" w:hAnsi="Calibri" w:cs="Calibri"/>
          <w:b/>
          <w:bCs/>
          <w:color w:val="000000" w:themeColor="text1"/>
        </w:rPr>
        <w:t xml:space="preserve">TEACHING ASSISTANT </w:t>
      </w:r>
    </w:p>
    <w:p w14:paraId="3E0363C0" w14:textId="77777777" w:rsidR="00F571FC" w:rsidRPr="006708F0" w:rsidRDefault="00F571FC" w:rsidP="00F571FC">
      <w:pPr>
        <w:pStyle w:val="NoSpacing"/>
        <w:rPr>
          <w:rFonts w:ascii="Calibri" w:hAnsi="Calibri" w:cs="Calibri"/>
          <w:b/>
          <w:bCs/>
          <w:color w:val="000000" w:themeColor="text1"/>
        </w:rPr>
      </w:pPr>
    </w:p>
    <w:p w14:paraId="55A0C662" w14:textId="61A50A83" w:rsidR="006141BA" w:rsidRDefault="006141BA" w:rsidP="006141BA">
      <w:pPr>
        <w:pStyle w:val="NoSpacing"/>
        <w:rPr>
          <w:rFonts w:ascii="Calibri" w:hAnsi="Calibri" w:cs="Calibri"/>
          <w:b/>
          <w:bCs/>
          <w:color w:val="000000" w:themeColor="text1"/>
        </w:rPr>
      </w:pPr>
      <w:r w:rsidRPr="006708F0">
        <w:rPr>
          <w:rFonts w:ascii="Calibri" w:hAnsi="Calibri" w:cs="Calibri"/>
          <w:b/>
          <w:bCs/>
          <w:color w:val="000000" w:themeColor="text1"/>
        </w:rPr>
        <w:t xml:space="preserve">Salary: </w:t>
      </w:r>
      <w:r w:rsidRPr="006708F0">
        <w:rPr>
          <w:rFonts w:ascii="Calibri" w:hAnsi="Calibri" w:cs="Calibri"/>
          <w:b/>
          <w:bCs/>
          <w:color w:val="000000" w:themeColor="text1"/>
        </w:rPr>
        <w:tab/>
      </w:r>
      <w:r w:rsidRPr="006708F0">
        <w:rPr>
          <w:rFonts w:ascii="Calibri" w:hAnsi="Calibri" w:cs="Calibri"/>
          <w:b/>
          <w:bCs/>
          <w:color w:val="000000" w:themeColor="text1"/>
        </w:rPr>
        <w:tab/>
      </w:r>
      <w:r w:rsidRPr="006708F0">
        <w:rPr>
          <w:rFonts w:ascii="Calibri" w:hAnsi="Calibri" w:cs="Calibri"/>
          <w:b/>
          <w:bCs/>
          <w:color w:val="000000" w:themeColor="text1"/>
        </w:rPr>
        <w:tab/>
      </w:r>
      <w:r w:rsidR="009E1839">
        <w:rPr>
          <w:rFonts w:ascii="Calibri" w:hAnsi="Calibri" w:cs="Calibri"/>
          <w:b/>
          <w:bCs/>
          <w:color w:val="000000" w:themeColor="text1"/>
        </w:rPr>
        <w:t>SET G4 SCP 13</w:t>
      </w:r>
      <w:r w:rsidR="00E64C7A">
        <w:rPr>
          <w:rFonts w:ascii="Calibri" w:hAnsi="Calibri" w:cs="Calibri"/>
          <w:b/>
          <w:bCs/>
          <w:color w:val="000000" w:themeColor="text1"/>
        </w:rPr>
        <w:t>-</w:t>
      </w:r>
      <w:r w:rsidR="009E1839">
        <w:rPr>
          <w:rFonts w:ascii="Calibri" w:hAnsi="Calibri" w:cs="Calibri"/>
          <w:b/>
          <w:bCs/>
          <w:color w:val="000000" w:themeColor="text1"/>
        </w:rPr>
        <w:t>16</w:t>
      </w:r>
      <w:r w:rsidR="00E64C7A">
        <w:rPr>
          <w:rFonts w:ascii="Calibri" w:hAnsi="Calibri" w:cs="Calibri"/>
          <w:b/>
          <w:bCs/>
          <w:color w:val="000000" w:themeColor="text1"/>
        </w:rPr>
        <w:t xml:space="preserve"> - £23,115 - £23,893</w:t>
      </w:r>
    </w:p>
    <w:p w14:paraId="661DA4C4" w14:textId="37302D89" w:rsidR="009E1839" w:rsidRPr="006708F0" w:rsidRDefault="009E1839" w:rsidP="006141BA">
      <w:pPr>
        <w:pStyle w:val="NoSpacing"/>
        <w:rPr>
          <w:rFonts w:ascii="Calibri" w:hAnsi="Calibri" w:cs="Calibri"/>
          <w:b/>
          <w:bCs/>
          <w:color w:val="000000" w:themeColor="text1"/>
        </w:rPr>
      </w:pPr>
      <w:r>
        <w:rPr>
          <w:rFonts w:ascii="Calibri" w:hAnsi="Calibri" w:cs="Calibri"/>
          <w:b/>
          <w:bCs/>
          <w:color w:val="000000" w:themeColor="text1"/>
        </w:rPr>
        <w:t xml:space="preserve">Actual Salary: </w:t>
      </w:r>
      <w:r>
        <w:rPr>
          <w:rFonts w:ascii="Calibri" w:hAnsi="Calibri" w:cs="Calibri"/>
          <w:b/>
          <w:bCs/>
          <w:color w:val="000000" w:themeColor="text1"/>
        </w:rPr>
        <w:tab/>
      </w:r>
      <w:r>
        <w:rPr>
          <w:rFonts w:ascii="Calibri" w:hAnsi="Calibri" w:cs="Calibri"/>
          <w:b/>
          <w:bCs/>
          <w:color w:val="000000" w:themeColor="text1"/>
        </w:rPr>
        <w:tab/>
      </w:r>
      <w:r w:rsidR="00E64C7A">
        <w:rPr>
          <w:rFonts w:ascii="Calibri" w:hAnsi="Calibri" w:cs="Calibri"/>
          <w:b/>
          <w:bCs/>
          <w:color w:val="000000" w:themeColor="text1"/>
        </w:rPr>
        <w:t>£19,631 - £20,292</w:t>
      </w:r>
    </w:p>
    <w:p w14:paraId="11691C04" w14:textId="1A8DDB15" w:rsidR="006141BA" w:rsidRPr="006708F0" w:rsidRDefault="006141BA" w:rsidP="006141BA">
      <w:pPr>
        <w:pStyle w:val="NoSpacing"/>
        <w:rPr>
          <w:rFonts w:ascii="Calibri" w:hAnsi="Calibri" w:cs="Calibri"/>
          <w:b/>
          <w:bCs/>
          <w:color w:val="000000" w:themeColor="text1"/>
        </w:rPr>
      </w:pPr>
      <w:r w:rsidRPr="006708F0">
        <w:rPr>
          <w:rFonts w:ascii="Calibri" w:hAnsi="Calibri" w:cs="Calibri"/>
          <w:b/>
          <w:bCs/>
          <w:color w:val="000000" w:themeColor="text1"/>
        </w:rPr>
        <w:t xml:space="preserve">Working hours: </w:t>
      </w:r>
      <w:r w:rsidRPr="006708F0">
        <w:rPr>
          <w:rFonts w:ascii="Calibri" w:hAnsi="Calibri" w:cs="Calibri"/>
          <w:b/>
          <w:bCs/>
          <w:color w:val="000000" w:themeColor="text1"/>
        </w:rPr>
        <w:tab/>
      </w:r>
      <w:r w:rsidR="00E15A61">
        <w:rPr>
          <w:rFonts w:ascii="Calibri" w:hAnsi="Calibri" w:cs="Calibri"/>
          <w:b/>
          <w:bCs/>
          <w:color w:val="000000" w:themeColor="text1"/>
        </w:rPr>
        <w:t xml:space="preserve">37 </w:t>
      </w:r>
      <w:r w:rsidR="00893F19">
        <w:rPr>
          <w:rFonts w:ascii="Calibri" w:hAnsi="Calibri" w:cs="Calibri"/>
          <w:b/>
          <w:bCs/>
          <w:color w:val="000000" w:themeColor="text1"/>
        </w:rPr>
        <w:t>Hours -</w:t>
      </w:r>
      <w:r w:rsidR="00E15A61">
        <w:rPr>
          <w:rFonts w:ascii="Calibri" w:hAnsi="Calibri" w:cs="Calibri"/>
          <w:b/>
          <w:bCs/>
          <w:color w:val="000000" w:themeColor="text1"/>
        </w:rPr>
        <w:t xml:space="preserve"> Full time – Term Time Only </w:t>
      </w:r>
      <w:r w:rsidR="008E260F" w:rsidRPr="006708F0">
        <w:rPr>
          <w:rFonts w:ascii="Calibri" w:hAnsi="Calibri" w:cs="Calibri"/>
          <w:b/>
          <w:bCs/>
          <w:color w:val="000000" w:themeColor="text1"/>
        </w:rPr>
        <w:t xml:space="preserve"> </w:t>
      </w:r>
    </w:p>
    <w:p w14:paraId="746F5EBB" w14:textId="2BD584B7" w:rsidR="006141BA" w:rsidRPr="006708F0" w:rsidRDefault="006141BA" w:rsidP="006141BA">
      <w:pPr>
        <w:pStyle w:val="NoSpacing"/>
        <w:rPr>
          <w:rFonts w:ascii="Calibri" w:hAnsi="Calibri" w:cs="Calibri"/>
          <w:b/>
          <w:bCs/>
          <w:color w:val="000000" w:themeColor="text1"/>
        </w:rPr>
      </w:pPr>
      <w:r w:rsidRPr="006708F0">
        <w:rPr>
          <w:rFonts w:ascii="Calibri" w:hAnsi="Calibri" w:cs="Calibri"/>
          <w:b/>
          <w:bCs/>
          <w:color w:val="000000" w:themeColor="text1"/>
        </w:rPr>
        <w:t xml:space="preserve">Contract type: </w:t>
      </w:r>
      <w:r w:rsidRPr="006708F0">
        <w:rPr>
          <w:rFonts w:ascii="Calibri" w:hAnsi="Calibri" w:cs="Calibri"/>
          <w:b/>
          <w:bCs/>
          <w:color w:val="000000" w:themeColor="text1"/>
        </w:rPr>
        <w:tab/>
      </w:r>
      <w:r w:rsidRPr="006708F0">
        <w:rPr>
          <w:rFonts w:ascii="Calibri" w:hAnsi="Calibri" w:cs="Calibri"/>
          <w:b/>
          <w:bCs/>
          <w:color w:val="000000" w:themeColor="text1"/>
        </w:rPr>
        <w:tab/>
      </w:r>
      <w:r w:rsidR="008E260F" w:rsidRPr="006708F0">
        <w:rPr>
          <w:rFonts w:ascii="Calibri" w:hAnsi="Calibri" w:cs="Calibri"/>
          <w:b/>
          <w:bCs/>
          <w:color w:val="000000" w:themeColor="text1"/>
        </w:rPr>
        <w:t xml:space="preserve">Permanent </w:t>
      </w:r>
    </w:p>
    <w:p w14:paraId="3E0F078D" w14:textId="2036A7A1" w:rsidR="006141BA" w:rsidRPr="006708F0" w:rsidRDefault="006141BA" w:rsidP="006141BA">
      <w:pPr>
        <w:pStyle w:val="NoSpacing"/>
        <w:rPr>
          <w:rFonts w:ascii="Calibri" w:hAnsi="Calibri" w:cs="Calibri"/>
          <w:b/>
          <w:bCs/>
          <w:color w:val="000000" w:themeColor="text1"/>
        </w:rPr>
      </w:pPr>
      <w:r w:rsidRPr="006708F0">
        <w:rPr>
          <w:rFonts w:ascii="Calibri" w:hAnsi="Calibri" w:cs="Calibri"/>
          <w:b/>
          <w:bCs/>
          <w:color w:val="000000" w:themeColor="text1"/>
        </w:rPr>
        <w:t xml:space="preserve">Start date: </w:t>
      </w:r>
      <w:r w:rsidRPr="006708F0">
        <w:rPr>
          <w:rFonts w:ascii="Calibri" w:hAnsi="Calibri" w:cs="Calibri"/>
          <w:b/>
          <w:bCs/>
          <w:color w:val="000000" w:themeColor="text1"/>
        </w:rPr>
        <w:tab/>
      </w:r>
      <w:r w:rsidRPr="006708F0">
        <w:rPr>
          <w:rFonts w:ascii="Calibri" w:hAnsi="Calibri" w:cs="Calibri"/>
          <w:b/>
          <w:bCs/>
          <w:color w:val="000000" w:themeColor="text1"/>
        </w:rPr>
        <w:tab/>
      </w:r>
      <w:r w:rsidR="008E260F" w:rsidRPr="006708F0">
        <w:rPr>
          <w:rFonts w:ascii="Calibri" w:hAnsi="Calibri" w:cs="Calibri"/>
          <w:b/>
          <w:bCs/>
          <w:color w:val="000000" w:themeColor="text1"/>
        </w:rPr>
        <w:t>ASAP</w:t>
      </w:r>
    </w:p>
    <w:p w14:paraId="713F689A" w14:textId="77777777" w:rsidR="00206CC0" w:rsidRPr="006708F0" w:rsidRDefault="00206CC0">
      <w:pPr>
        <w:rPr>
          <w:rFonts w:ascii="Calibri" w:hAnsi="Calibri" w:cs="Calibri"/>
          <w:b/>
          <w:bCs/>
          <w:color w:val="000000" w:themeColor="text1"/>
        </w:rPr>
      </w:pPr>
    </w:p>
    <w:p w14:paraId="0DD5AA14" w14:textId="03A6785E" w:rsidR="002462CE" w:rsidRDefault="002462CE" w:rsidP="002462CE">
      <w:r>
        <w:t xml:space="preserve">This is an exciting opportunity at Tottington High School, for a suitably qualified candidate to support teaching staff in the care of pupils and management of classrooms.  The successful candidate will be committed to our motto of ‘Achieving excellence through partnership’ and have the skills, </w:t>
      </w:r>
      <w:r w:rsidR="009107F9">
        <w:t>expertise,</w:t>
      </w:r>
      <w:r>
        <w:t xml:space="preserve"> and determination to make a difference to the lives of our students. We are working to create something exceptional for the young people in our community and if this ambition appeals to you, we would be delighted to receive an application from you. </w:t>
      </w:r>
    </w:p>
    <w:p w14:paraId="6B59397C" w14:textId="2F40F9FF" w:rsidR="00FC08F8" w:rsidRPr="006708F0" w:rsidRDefault="004B1316" w:rsidP="00616306">
      <w:pPr>
        <w:tabs>
          <w:tab w:val="left" w:pos="2916"/>
        </w:tabs>
        <w:rPr>
          <w:rFonts w:ascii="Calibri" w:hAnsi="Calibri" w:cs="Calibri"/>
          <w:b/>
          <w:bCs/>
          <w:color w:val="4472C4" w:themeColor="accent1"/>
        </w:rPr>
      </w:pPr>
      <w:r w:rsidRPr="006708F0">
        <w:rPr>
          <w:rFonts w:ascii="Calibri" w:hAnsi="Calibri" w:cs="Calibri"/>
        </w:rP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sidRPr="006708F0">
        <w:rPr>
          <w:rFonts w:ascii="Calibri" w:hAnsi="Calibri" w:cs="Calibri"/>
          <w:b/>
          <w:bCs/>
          <w:color w:val="4472C4" w:themeColor="accent1"/>
        </w:rPr>
        <w:tab/>
      </w:r>
    </w:p>
    <w:p w14:paraId="0B9505A3" w14:textId="603E12D4" w:rsidR="00616306" w:rsidRPr="006708F0" w:rsidRDefault="00FC08F8" w:rsidP="00616306">
      <w:pPr>
        <w:tabs>
          <w:tab w:val="left" w:pos="2916"/>
        </w:tabs>
        <w:rPr>
          <w:rFonts w:ascii="Calibri" w:hAnsi="Calibri" w:cs="Calibri"/>
          <w:b/>
          <w:bCs/>
          <w:color w:val="4472C4" w:themeColor="accent1"/>
        </w:rPr>
      </w:pPr>
      <w:r w:rsidRPr="006708F0">
        <w:rPr>
          <w:rFonts w:ascii="Calibri" w:hAnsi="Calibri" w:cs="Calibri"/>
          <w:b/>
          <w:bCs/>
        </w:rPr>
        <w:t>All candidates are required to provide a supporting statement on the formal application forms which states clearly your reasons for applying, skills and experience for this position.</w:t>
      </w:r>
    </w:p>
    <w:p w14:paraId="2A2DC6D8" w14:textId="77777777" w:rsidR="00BD26D0" w:rsidRPr="00616306" w:rsidRDefault="00BD26D0" w:rsidP="00BD26D0">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9322735" w14:textId="77777777" w:rsidR="00BD26D0" w:rsidRDefault="00BD26D0" w:rsidP="00BD26D0">
      <w:pPr>
        <w:pStyle w:val="NoSpacing"/>
      </w:pPr>
    </w:p>
    <w:p w14:paraId="5416F4D1" w14:textId="77777777" w:rsidR="00BD26D0" w:rsidRDefault="00BD26D0" w:rsidP="00BD26D0">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2197F441" w14:textId="77777777" w:rsidR="002237B5" w:rsidRPr="006708F0" w:rsidRDefault="002237B5" w:rsidP="002237B5">
      <w:pPr>
        <w:pStyle w:val="NoSpacing"/>
        <w:rPr>
          <w:rFonts w:ascii="Calibri" w:hAnsi="Calibri" w:cs="Calibri"/>
          <w:color w:val="000000" w:themeColor="text1"/>
        </w:rPr>
      </w:pPr>
    </w:p>
    <w:p w14:paraId="465352DD" w14:textId="148643EB" w:rsidR="006141BA" w:rsidRPr="006708F0" w:rsidRDefault="006141BA" w:rsidP="006141BA">
      <w:pPr>
        <w:rPr>
          <w:rFonts w:ascii="Calibri" w:hAnsi="Calibri" w:cs="Calibri"/>
          <w:color w:val="000000" w:themeColor="text1"/>
        </w:rPr>
      </w:pPr>
      <w:r w:rsidRPr="006708F0">
        <w:rPr>
          <w:rFonts w:ascii="Calibri" w:hAnsi="Calibri" w:cs="Calibri"/>
          <w:b/>
          <w:bCs/>
          <w:color w:val="000000" w:themeColor="text1"/>
        </w:rPr>
        <w:t>Shaw Education Trust offer the following benefits with your Teaching or Support Staff employment:</w:t>
      </w:r>
    </w:p>
    <w:p w14:paraId="059EBB16" w14:textId="26A396CF" w:rsidR="006141BA" w:rsidRPr="006708F0" w:rsidRDefault="006141BA" w:rsidP="006141BA">
      <w:pPr>
        <w:pStyle w:val="ListParagraph"/>
        <w:numPr>
          <w:ilvl w:val="0"/>
          <w:numId w:val="5"/>
        </w:numPr>
        <w:spacing w:after="0" w:line="240" w:lineRule="auto"/>
        <w:contextualSpacing w:val="0"/>
        <w:rPr>
          <w:rFonts w:ascii="Calibri" w:eastAsia="Times New Roman" w:hAnsi="Calibri" w:cs="Calibri"/>
          <w:color w:val="000000" w:themeColor="text1"/>
        </w:rPr>
      </w:pPr>
      <w:r w:rsidRPr="006708F0">
        <w:rPr>
          <w:rFonts w:ascii="Calibri" w:eastAsia="Times New Roman" w:hAnsi="Calibri" w:cs="Calibri"/>
          <w:color w:val="000000" w:themeColor="text1"/>
        </w:rPr>
        <w:t>An excellent Local Government Pension Scheme (Support Staff)/Teachers Pension (Teaching Staff)</w:t>
      </w:r>
    </w:p>
    <w:p w14:paraId="357BE374" w14:textId="0D601018" w:rsidR="006141BA" w:rsidRPr="006708F0" w:rsidRDefault="006141BA" w:rsidP="006141BA">
      <w:pPr>
        <w:pStyle w:val="ListParagraph"/>
        <w:numPr>
          <w:ilvl w:val="0"/>
          <w:numId w:val="5"/>
        </w:numPr>
        <w:spacing w:after="0" w:line="240" w:lineRule="auto"/>
        <w:rPr>
          <w:rFonts w:ascii="Calibri" w:eastAsia="Times New Roman" w:hAnsi="Calibri" w:cs="Calibri"/>
          <w:color w:val="000000" w:themeColor="text1"/>
        </w:rPr>
      </w:pPr>
      <w:r w:rsidRPr="006708F0">
        <w:rPr>
          <w:rFonts w:ascii="Calibri" w:eastAsia="Times New Roman" w:hAnsi="Calibri" w:cs="Calibri"/>
          <w:b/>
          <w:bCs/>
          <w:color w:val="000000" w:themeColor="text1"/>
          <w:lang w:val="en-US" w:eastAsia="ja-JP"/>
        </w:rPr>
        <w:t>Support Staff only</w:t>
      </w:r>
      <w:r w:rsidRPr="006708F0">
        <w:rPr>
          <w:rFonts w:ascii="Calibri" w:eastAsia="Times New Roman" w:hAnsi="Calibri" w:cs="Calibri"/>
          <w:color w:val="000000" w:themeColor="text1"/>
          <w:lang w:val="en-US" w:eastAsia="ja-JP"/>
        </w:rPr>
        <w:t xml:space="preserve"> based on working </w:t>
      </w:r>
      <w:r w:rsidRPr="006708F0">
        <w:rPr>
          <w:rFonts w:ascii="Calibri" w:eastAsia="Times New Roman" w:hAnsi="Calibri" w:cs="Calibri"/>
          <w:b/>
          <w:bCs/>
          <w:color w:val="000000" w:themeColor="text1"/>
          <w:lang w:val="en-US" w:eastAsia="ja-JP"/>
        </w:rPr>
        <w:t>full time, all year</w:t>
      </w:r>
      <w:r w:rsidRPr="006708F0">
        <w:rPr>
          <w:rFonts w:ascii="Calibri" w:eastAsia="Times New Roman" w:hAnsi="Calibri" w:cs="Calibri"/>
          <w:color w:val="000000" w:themeColor="text1"/>
          <w:lang w:val="en-US" w:eastAsia="ja-JP"/>
        </w:rPr>
        <w:t xml:space="preserve"> - Generous holiday entitlement from your first day of employment (</w:t>
      </w:r>
      <w:r w:rsidRPr="006708F0">
        <w:rPr>
          <w:rFonts w:ascii="Calibri" w:eastAsia="Times New Roman" w:hAnsi="Calibri" w:cs="Calibri"/>
          <w:b/>
          <w:bCs/>
          <w:color w:val="000000" w:themeColor="text1"/>
          <w:lang w:val="en-US" w:eastAsia="ja-JP"/>
        </w:rPr>
        <w:t>3</w:t>
      </w:r>
      <w:r w:rsidR="002E372F" w:rsidRPr="006708F0">
        <w:rPr>
          <w:rFonts w:ascii="Calibri" w:eastAsia="Times New Roman" w:hAnsi="Calibri" w:cs="Calibri"/>
          <w:b/>
          <w:bCs/>
          <w:color w:val="000000" w:themeColor="text1"/>
          <w:lang w:val="en-US" w:eastAsia="ja-JP"/>
        </w:rPr>
        <w:t>7</w:t>
      </w:r>
      <w:r w:rsidRPr="006708F0">
        <w:rPr>
          <w:rFonts w:ascii="Calibri" w:eastAsia="Times New Roman" w:hAnsi="Calibri" w:cs="Calibri"/>
          <w:b/>
          <w:bCs/>
          <w:color w:val="000000" w:themeColor="text1"/>
          <w:lang w:val="en-US" w:eastAsia="ja-JP"/>
        </w:rPr>
        <w:t xml:space="preserve"> days holiday</w:t>
      </w:r>
      <w:r w:rsidRPr="006708F0">
        <w:rPr>
          <w:rFonts w:ascii="Calibri" w:eastAsia="Times New Roman" w:hAnsi="Calibri" w:cs="Calibri"/>
          <w:color w:val="000000" w:themeColor="text1"/>
          <w:lang w:val="en-US" w:eastAsia="ja-JP"/>
        </w:rPr>
        <w:t xml:space="preserve"> </w:t>
      </w:r>
      <w:r w:rsidRPr="006708F0">
        <w:rPr>
          <w:rFonts w:ascii="Calibri" w:eastAsia="Times New Roman" w:hAnsi="Calibri" w:cs="Calibri"/>
          <w:b/>
          <w:bCs/>
          <w:color w:val="000000" w:themeColor="text1"/>
          <w:lang w:val="en-US" w:eastAsia="ja-JP"/>
        </w:rPr>
        <w:t>rising to 3</w:t>
      </w:r>
      <w:r w:rsidR="002E372F" w:rsidRPr="006708F0">
        <w:rPr>
          <w:rFonts w:ascii="Calibri" w:eastAsia="Times New Roman" w:hAnsi="Calibri" w:cs="Calibri"/>
          <w:b/>
          <w:bCs/>
          <w:color w:val="000000" w:themeColor="text1"/>
          <w:lang w:val="en-US" w:eastAsia="ja-JP"/>
        </w:rPr>
        <w:t>9</w:t>
      </w:r>
      <w:r w:rsidRPr="006708F0">
        <w:rPr>
          <w:rFonts w:ascii="Calibri" w:eastAsia="Times New Roman" w:hAnsi="Calibri" w:cs="Calibri"/>
          <w:b/>
          <w:bCs/>
          <w:color w:val="000000" w:themeColor="text1"/>
          <w:lang w:val="en-US" w:eastAsia="ja-JP"/>
        </w:rPr>
        <w:t xml:space="preserve"> days</w:t>
      </w:r>
      <w:r w:rsidRPr="006708F0">
        <w:rPr>
          <w:rFonts w:ascii="Calibri" w:eastAsia="Times New Roman" w:hAnsi="Calibri" w:cs="Calibri"/>
          <w:color w:val="000000" w:themeColor="text1"/>
          <w:lang w:val="en-US" w:eastAsia="ja-JP"/>
        </w:rPr>
        <w:t xml:space="preserve"> after 5 years’ service including Bank Holidays)</w:t>
      </w:r>
      <w:r w:rsidRPr="006708F0">
        <w:rPr>
          <w:rFonts w:ascii="Calibri" w:eastAsia="Times New Roman" w:hAnsi="Calibri" w:cs="Calibri"/>
          <w:b/>
          <w:bCs/>
          <w:color w:val="000000" w:themeColor="text1"/>
          <w:lang w:val="en-US" w:eastAsia="ja-JP"/>
        </w:rPr>
        <w:t xml:space="preserve"> </w:t>
      </w:r>
    </w:p>
    <w:p w14:paraId="6CD1B646" w14:textId="22C9C14C" w:rsidR="006141BA" w:rsidRPr="006708F0" w:rsidRDefault="006141BA" w:rsidP="006141BA">
      <w:pPr>
        <w:pStyle w:val="ListParagraph"/>
        <w:numPr>
          <w:ilvl w:val="0"/>
          <w:numId w:val="5"/>
        </w:numPr>
        <w:spacing w:after="0" w:line="240" w:lineRule="auto"/>
        <w:contextualSpacing w:val="0"/>
        <w:rPr>
          <w:rFonts w:ascii="Calibri" w:eastAsia="Times New Roman" w:hAnsi="Calibri" w:cs="Calibri"/>
          <w:color w:val="000000" w:themeColor="text1"/>
        </w:rPr>
      </w:pPr>
      <w:r w:rsidRPr="006708F0">
        <w:rPr>
          <w:rFonts w:ascii="Calibri" w:eastAsia="Times New Roman" w:hAnsi="Calibri" w:cs="Calibri"/>
          <w:color w:val="000000" w:themeColor="text1"/>
        </w:rPr>
        <w:t>Access to health and wellbeing support via Occupational Health</w:t>
      </w:r>
    </w:p>
    <w:p w14:paraId="444A932A" w14:textId="77777777" w:rsidR="006141BA" w:rsidRPr="006708F0" w:rsidRDefault="006141BA" w:rsidP="006141BA">
      <w:pPr>
        <w:pStyle w:val="ListParagraph"/>
        <w:numPr>
          <w:ilvl w:val="0"/>
          <w:numId w:val="5"/>
        </w:numPr>
        <w:spacing w:after="0" w:line="240" w:lineRule="auto"/>
        <w:contextualSpacing w:val="0"/>
        <w:rPr>
          <w:rFonts w:ascii="Calibri" w:eastAsia="Times New Roman" w:hAnsi="Calibri" w:cs="Calibri"/>
          <w:color w:val="000000" w:themeColor="text1"/>
        </w:rPr>
      </w:pPr>
      <w:r w:rsidRPr="006708F0">
        <w:rPr>
          <w:rFonts w:ascii="Calibri" w:eastAsia="Times New Roman" w:hAnsi="Calibri" w:cs="Calibri"/>
          <w:color w:val="000000" w:themeColor="text1"/>
        </w:rPr>
        <w:t xml:space="preserve">Cycle to work </w:t>
      </w:r>
      <w:proofErr w:type="gramStart"/>
      <w:r w:rsidRPr="006708F0">
        <w:rPr>
          <w:rFonts w:ascii="Calibri" w:eastAsia="Times New Roman" w:hAnsi="Calibri" w:cs="Calibri"/>
          <w:color w:val="000000" w:themeColor="text1"/>
        </w:rPr>
        <w:t>scheme</w:t>
      </w:r>
      <w:proofErr w:type="gramEnd"/>
    </w:p>
    <w:p w14:paraId="7BFC9649" w14:textId="77777777" w:rsidR="006141BA" w:rsidRPr="006708F0" w:rsidRDefault="006141BA" w:rsidP="006141BA">
      <w:pPr>
        <w:numPr>
          <w:ilvl w:val="0"/>
          <w:numId w:val="5"/>
        </w:numPr>
        <w:spacing w:after="0" w:line="240" w:lineRule="auto"/>
        <w:rPr>
          <w:rFonts w:ascii="Calibri" w:eastAsia="Times New Roman" w:hAnsi="Calibri" w:cs="Calibri"/>
          <w:color w:val="000000" w:themeColor="text1"/>
        </w:rPr>
      </w:pPr>
      <w:r w:rsidRPr="006708F0">
        <w:rPr>
          <w:rFonts w:ascii="Calibri" w:eastAsia="Times New Roman" w:hAnsi="Calibri" w:cs="Calibri"/>
          <w:color w:val="000000" w:themeColor="text1"/>
          <w:lang w:val="en-US" w:eastAsia="ja-JP"/>
        </w:rPr>
        <w:t xml:space="preserve">Access to our Institute of Education and fantastic opportunities to help you </w:t>
      </w:r>
      <w:r w:rsidRPr="006708F0">
        <w:rPr>
          <w:rFonts w:ascii="Calibri" w:eastAsia="Times New Roman" w:hAnsi="Calibri" w:cs="Calibri"/>
          <w:b/>
          <w:bCs/>
          <w:color w:val="000000" w:themeColor="text1"/>
          <w:lang w:val="en-US" w:eastAsia="ja-JP"/>
        </w:rPr>
        <w:t>grow, contribute</w:t>
      </w:r>
      <w:r w:rsidRPr="006708F0">
        <w:rPr>
          <w:rFonts w:ascii="Calibri" w:eastAsia="Times New Roman" w:hAnsi="Calibri" w:cs="Calibri"/>
          <w:color w:val="000000" w:themeColor="text1"/>
          <w:lang w:val="en-US" w:eastAsia="ja-JP"/>
        </w:rPr>
        <w:t xml:space="preserve"> and </w:t>
      </w:r>
      <w:r w:rsidRPr="006708F0">
        <w:rPr>
          <w:rFonts w:ascii="Calibri" w:eastAsia="Times New Roman" w:hAnsi="Calibri" w:cs="Calibri"/>
          <w:b/>
          <w:bCs/>
          <w:color w:val="000000" w:themeColor="text1"/>
          <w:lang w:val="en-US" w:eastAsia="ja-JP"/>
        </w:rPr>
        <w:t>flourish</w:t>
      </w:r>
      <w:r w:rsidRPr="006708F0">
        <w:rPr>
          <w:rFonts w:ascii="Calibri" w:eastAsia="Times New Roman" w:hAnsi="Calibri" w:cs="Calibri"/>
          <w:color w:val="000000" w:themeColor="text1"/>
          <w:lang w:val="en-US" w:eastAsia="ja-JP"/>
        </w:rPr>
        <w:t xml:space="preserve"> in your role and in the Trust. </w:t>
      </w:r>
    </w:p>
    <w:p w14:paraId="5E160154" w14:textId="1377C0A2" w:rsidR="006141BA" w:rsidRPr="006708F0" w:rsidRDefault="006141BA" w:rsidP="0090533D">
      <w:pPr>
        <w:rPr>
          <w:rFonts w:ascii="Calibri" w:hAnsi="Calibri" w:cs="Calibri"/>
          <w:lang w:val="en-US"/>
        </w:rPr>
      </w:pPr>
    </w:p>
    <w:p w14:paraId="234A13A7" w14:textId="77777777" w:rsidR="00BD26D0" w:rsidRDefault="00BD26D0" w:rsidP="00F33759">
      <w:pPr>
        <w:pStyle w:val="xmsonormal"/>
        <w:rPr>
          <w:b/>
          <w:bCs/>
          <w:color w:val="000000" w:themeColor="text1"/>
        </w:rPr>
      </w:pPr>
    </w:p>
    <w:p w14:paraId="135D7EB7" w14:textId="22048AB5" w:rsidR="00F33759" w:rsidRDefault="00F33759" w:rsidP="00F33759">
      <w:pPr>
        <w:pStyle w:val="xmsonormal"/>
      </w:pPr>
      <w:r w:rsidRPr="005B550C">
        <w:rPr>
          <w:b/>
          <w:bCs/>
          <w:color w:val="000000" w:themeColor="text1"/>
        </w:rPr>
        <w:t>TOTTINGTON HIGH SCHOOL</w:t>
      </w:r>
      <w:r w:rsidRPr="005B550C">
        <w:rPr>
          <w:color w:val="000000" w:themeColor="text1"/>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0" w:history="1">
        <w:r>
          <w:rPr>
            <w:rStyle w:val="Hyperlink"/>
          </w:rPr>
          <w:t>https://www.shaw-education.org.uk/our-trust/key-information</w:t>
        </w:r>
      </w:hyperlink>
    </w:p>
    <w:p w14:paraId="04D2FB3D" w14:textId="77777777" w:rsidR="00F33759" w:rsidRDefault="00F33759" w:rsidP="00F33759">
      <w:pPr>
        <w:pStyle w:val="xmsonormal"/>
      </w:pPr>
    </w:p>
    <w:p w14:paraId="439BAAC1" w14:textId="77777777" w:rsidR="00F33759" w:rsidRDefault="00F33759" w:rsidP="00F33759">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45F27DB0" w14:textId="77777777" w:rsidR="00F33759" w:rsidRDefault="00F33759" w:rsidP="00F33759">
      <w:pPr>
        <w:pStyle w:val="xmsonormal"/>
      </w:pPr>
    </w:p>
    <w:p w14:paraId="02CC9F09" w14:textId="77777777" w:rsidR="00F33759" w:rsidRDefault="00F33759" w:rsidP="00F33759">
      <w:pPr>
        <w:pStyle w:val="xmsonormal"/>
      </w:pPr>
      <w:r>
        <w:rPr>
          <w:b/>
          <w:bCs/>
        </w:rPr>
        <w:t>In accordance with our safer recruitment policy CV’s alone will not be accepted.</w:t>
      </w:r>
    </w:p>
    <w:p w14:paraId="6304BA3D" w14:textId="77777777" w:rsidR="00F33759" w:rsidRDefault="00F33759" w:rsidP="006141BA">
      <w:pPr>
        <w:pStyle w:val="xmsonormal"/>
        <w:rPr>
          <w:b/>
          <w:bCs/>
        </w:rPr>
      </w:pPr>
    </w:p>
    <w:p w14:paraId="1D79A47E" w14:textId="222CABD2" w:rsidR="006141BA" w:rsidRPr="003E01C4" w:rsidRDefault="006141BA" w:rsidP="006141BA">
      <w:pPr>
        <w:pStyle w:val="xmsonormal"/>
        <w:rPr>
          <w:color w:val="000000" w:themeColor="text1"/>
        </w:rPr>
      </w:pPr>
      <w:r w:rsidRPr="006708F0">
        <w:rPr>
          <w:b/>
          <w:bCs/>
        </w:rPr>
        <w:t>Application deadline:    </w:t>
      </w:r>
      <w:r w:rsidR="002462CE">
        <w:rPr>
          <w:b/>
          <w:bCs/>
          <w:color w:val="000000" w:themeColor="text1"/>
        </w:rPr>
        <w:t xml:space="preserve">Thursday, </w:t>
      </w:r>
      <w:r w:rsidR="00E97D33">
        <w:rPr>
          <w:b/>
          <w:bCs/>
          <w:color w:val="000000" w:themeColor="text1"/>
        </w:rPr>
        <w:t>7</w:t>
      </w:r>
      <w:r w:rsidR="00E97D33" w:rsidRPr="00E97D33">
        <w:rPr>
          <w:b/>
          <w:bCs/>
          <w:color w:val="000000" w:themeColor="text1"/>
          <w:vertAlign w:val="superscript"/>
        </w:rPr>
        <w:t>th</w:t>
      </w:r>
      <w:r w:rsidR="00E97D33">
        <w:rPr>
          <w:b/>
          <w:bCs/>
          <w:color w:val="000000" w:themeColor="text1"/>
        </w:rPr>
        <w:t xml:space="preserve"> December 2023 </w:t>
      </w:r>
    </w:p>
    <w:p w14:paraId="7850FF3B" w14:textId="255CF09A" w:rsidR="006141BA" w:rsidRPr="003E01C4" w:rsidRDefault="006141BA" w:rsidP="006141BA">
      <w:pPr>
        <w:pStyle w:val="xmsonormal"/>
        <w:rPr>
          <w:color w:val="000000" w:themeColor="text1"/>
        </w:rPr>
      </w:pPr>
      <w:r w:rsidRPr="003E01C4">
        <w:rPr>
          <w:b/>
          <w:bCs/>
          <w:color w:val="000000" w:themeColor="text1"/>
        </w:rPr>
        <w:t xml:space="preserve">Interview date: </w:t>
      </w:r>
      <w:r w:rsidR="00DA5100" w:rsidRPr="003E01C4">
        <w:rPr>
          <w:b/>
          <w:bCs/>
          <w:color w:val="000000" w:themeColor="text1"/>
        </w:rPr>
        <w:tab/>
      </w:r>
      <w:r w:rsidR="003E01C4">
        <w:rPr>
          <w:b/>
          <w:bCs/>
          <w:color w:val="000000" w:themeColor="text1"/>
        </w:rPr>
        <w:t xml:space="preserve">TBC </w:t>
      </w:r>
      <w:r w:rsidR="00DA5100" w:rsidRPr="003E01C4">
        <w:rPr>
          <w:b/>
          <w:bCs/>
          <w:color w:val="000000" w:themeColor="text1"/>
        </w:rPr>
        <w:t xml:space="preserve"> </w:t>
      </w:r>
    </w:p>
    <w:p w14:paraId="565C82A7" w14:textId="77777777" w:rsidR="006141BA" w:rsidRPr="003E01C4" w:rsidRDefault="006141BA" w:rsidP="006141BA">
      <w:pPr>
        <w:pStyle w:val="xmsonormal"/>
        <w:rPr>
          <w:color w:val="000000" w:themeColor="text1"/>
        </w:rPr>
      </w:pPr>
      <w:r w:rsidRPr="003E01C4">
        <w:rPr>
          <w:b/>
          <w:bCs/>
          <w:color w:val="000000" w:themeColor="text1"/>
        </w:rPr>
        <w:t> </w:t>
      </w:r>
    </w:p>
    <w:p w14:paraId="360D2333" w14:textId="77777777" w:rsidR="006141BA" w:rsidRPr="006708F0" w:rsidRDefault="006141BA" w:rsidP="006141BA">
      <w:pPr>
        <w:pStyle w:val="xmsonormal"/>
        <w:rPr>
          <w:b/>
          <w:bCs/>
        </w:rPr>
      </w:pPr>
      <w:r w:rsidRPr="006708F0">
        <w:rPr>
          <w:b/>
          <w:bCs/>
        </w:rPr>
        <w:t>We reserve the right to appoint before the closing date, therefore, we encourage early applications.</w:t>
      </w:r>
    </w:p>
    <w:p w14:paraId="310C2FE6" w14:textId="77777777" w:rsidR="006141BA" w:rsidRPr="006708F0" w:rsidRDefault="006141BA" w:rsidP="006141BA">
      <w:pPr>
        <w:pStyle w:val="xmsonospacing"/>
        <w:jc w:val="both"/>
        <w:rPr>
          <w:rFonts w:ascii="Calibri" w:hAnsi="Calibri" w:cs="Calibri"/>
          <w:sz w:val="22"/>
          <w:szCs w:val="22"/>
        </w:rPr>
      </w:pPr>
      <w:r w:rsidRPr="006708F0">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Pr="006708F0" w:rsidRDefault="006141BA" w:rsidP="006141BA">
      <w:pPr>
        <w:pStyle w:val="xmsonormal"/>
      </w:pPr>
      <w:r w:rsidRPr="006708F0">
        <w:rPr>
          <w:b/>
          <w:bCs/>
          <w:lang w:val="en-US"/>
        </w:rPr>
        <w:t> </w:t>
      </w:r>
    </w:p>
    <w:p w14:paraId="684F3D3B" w14:textId="77777777" w:rsidR="006141BA" w:rsidRPr="006708F0" w:rsidRDefault="006141BA">
      <w:pPr>
        <w:rPr>
          <w:rFonts w:ascii="Calibri" w:hAnsi="Calibri" w:cs="Calibri"/>
        </w:rPr>
      </w:pPr>
    </w:p>
    <w:sectPr w:rsidR="006141BA" w:rsidRPr="006708F0"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D582" w14:textId="77777777" w:rsidR="00D2755A" w:rsidRDefault="00D2755A" w:rsidP="006141BA">
      <w:pPr>
        <w:spacing w:after="0" w:line="240" w:lineRule="auto"/>
      </w:pPr>
      <w:r>
        <w:separator/>
      </w:r>
    </w:p>
  </w:endnote>
  <w:endnote w:type="continuationSeparator" w:id="0">
    <w:p w14:paraId="332DE9BE" w14:textId="77777777" w:rsidR="00D2755A" w:rsidRDefault="00D2755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3DDB" w14:textId="77777777" w:rsidR="00D2755A" w:rsidRDefault="00D2755A" w:rsidP="006141BA">
      <w:pPr>
        <w:spacing w:after="0" w:line="240" w:lineRule="auto"/>
      </w:pPr>
      <w:r>
        <w:separator/>
      </w:r>
    </w:p>
  </w:footnote>
  <w:footnote w:type="continuationSeparator" w:id="0">
    <w:p w14:paraId="5631FC95" w14:textId="77777777" w:rsidR="00D2755A" w:rsidRDefault="00D2755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8F0" w14:textId="2E960E92" w:rsidR="006B4A02" w:rsidRDefault="006B4A02" w:rsidP="006141BA">
    <w:pPr>
      <w:pStyle w:val="Header"/>
      <w:jc w:val="center"/>
    </w:pPr>
    <w:r>
      <w:rPr>
        <w:noProof/>
      </w:rPr>
      <mc:AlternateContent>
        <mc:Choice Requires="wps">
          <w:drawing>
            <wp:inline distT="0" distB="0" distL="0" distR="0" wp14:anchorId="5C7C84FB" wp14:editId="6C63FB59">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08CE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B351D08" w:rsidR="006B4A02" w:rsidRDefault="006B4A02" w:rsidP="006141BA">
    <w:pPr>
      <w:pStyle w:val="Header"/>
      <w:jc w:val="center"/>
    </w:pPr>
    <w:r>
      <w:rPr>
        <w:noProof/>
      </w:rPr>
      <mc:AlternateContent>
        <mc:Choice Requires="wps">
          <w:drawing>
            <wp:inline distT="0" distB="0" distL="0" distR="0" wp14:anchorId="5E0D41EA" wp14:editId="4AD255F0">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F185A"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2FA79380" w:rsidR="006141BA" w:rsidRDefault="009C10CC" w:rsidP="006141BA">
    <w:pPr>
      <w:pStyle w:val="Header"/>
      <w:jc w:val="center"/>
    </w:pPr>
    <w:r w:rsidRPr="009C10CC">
      <w:rPr>
        <w:noProof/>
      </w:rPr>
      <w:drawing>
        <wp:anchor distT="0" distB="0" distL="114300" distR="114300" simplePos="0" relativeHeight="251658240" behindDoc="1" locked="0" layoutInCell="1" allowOverlap="1" wp14:anchorId="1297D3B6" wp14:editId="10ED0F23">
          <wp:simplePos x="0" y="0"/>
          <wp:positionH relativeFrom="margin">
            <wp:align>left</wp:align>
          </wp:positionH>
          <wp:positionV relativeFrom="paragraph">
            <wp:posOffset>109220</wp:posOffset>
          </wp:positionV>
          <wp:extent cx="3324225" cy="554990"/>
          <wp:effectExtent l="0" t="0" r="9525" b="0"/>
          <wp:wrapTight wrapText="bothSides">
            <wp:wrapPolygon edited="0">
              <wp:start x="0" y="0"/>
              <wp:lineTo x="0" y="20760"/>
              <wp:lineTo x="21538" y="20760"/>
              <wp:lineTo x="21538" y="0"/>
              <wp:lineTo x="0" y="0"/>
            </wp:wrapPolygon>
          </wp:wrapTight>
          <wp:docPr id="61655987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59877"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7A6964"/>
    <w:multiLevelType w:val="hybridMultilevel"/>
    <w:tmpl w:val="DF462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4C439D"/>
    <w:multiLevelType w:val="hybridMultilevel"/>
    <w:tmpl w:val="277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F6606C"/>
    <w:multiLevelType w:val="hybridMultilevel"/>
    <w:tmpl w:val="A32C7146"/>
    <w:lvl w:ilvl="0" w:tplc="998C091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383530182">
    <w:abstractNumId w:val="6"/>
  </w:num>
  <w:num w:numId="7" w16cid:durableId="676032854">
    <w:abstractNumId w:val="7"/>
  </w:num>
  <w:num w:numId="8" w16cid:durableId="68702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5A46"/>
    <w:rsid w:val="00070481"/>
    <w:rsid w:val="00094E15"/>
    <w:rsid w:val="000C7D22"/>
    <w:rsid w:val="0010286A"/>
    <w:rsid w:val="0016752B"/>
    <w:rsid w:val="001C665F"/>
    <w:rsid w:val="001F0194"/>
    <w:rsid w:val="00206CC0"/>
    <w:rsid w:val="002237B5"/>
    <w:rsid w:val="002462CE"/>
    <w:rsid w:val="002E372F"/>
    <w:rsid w:val="002E4EDE"/>
    <w:rsid w:val="00301FEB"/>
    <w:rsid w:val="00306A3F"/>
    <w:rsid w:val="00345D1C"/>
    <w:rsid w:val="00354290"/>
    <w:rsid w:val="003E01C4"/>
    <w:rsid w:val="00495057"/>
    <w:rsid w:val="004B1316"/>
    <w:rsid w:val="004C36A6"/>
    <w:rsid w:val="004F67E4"/>
    <w:rsid w:val="004F6F3C"/>
    <w:rsid w:val="005674B7"/>
    <w:rsid w:val="005B550C"/>
    <w:rsid w:val="005F51E7"/>
    <w:rsid w:val="006141BA"/>
    <w:rsid w:val="0061506D"/>
    <w:rsid w:val="00616306"/>
    <w:rsid w:val="00635F5B"/>
    <w:rsid w:val="0064335B"/>
    <w:rsid w:val="006708F0"/>
    <w:rsid w:val="006B4A02"/>
    <w:rsid w:val="007019F3"/>
    <w:rsid w:val="007609B1"/>
    <w:rsid w:val="00783B5B"/>
    <w:rsid w:val="00795CD5"/>
    <w:rsid w:val="00820CFA"/>
    <w:rsid w:val="00893B49"/>
    <w:rsid w:val="00893F19"/>
    <w:rsid w:val="008E260F"/>
    <w:rsid w:val="008E4C35"/>
    <w:rsid w:val="0090533D"/>
    <w:rsid w:val="009107F9"/>
    <w:rsid w:val="00922DC1"/>
    <w:rsid w:val="00937651"/>
    <w:rsid w:val="009C10CC"/>
    <w:rsid w:val="009C79AA"/>
    <w:rsid w:val="009E1839"/>
    <w:rsid w:val="00A26240"/>
    <w:rsid w:val="00A869D3"/>
    <w:rsid w:val="00AA2D2D"/>
    <w:rsid w:val="00B54BCE"/>
    <w:rsid w:val="00B76816"/>
    <w:rsid w:val="00B86804"/>
    <w:rsid w:val="00BD26D0"/>
    <w:rsid w:val="00BD7765"/>
    <w:rsid w:val="00BF327B"/>
    <w:rsid w:val="00C16151"/>
    <w:rsid w:val="00C1624D"/>
    <w:rsid w:val="00C416F4"/>
    <w:rsid w:val="00CC0E3C"/>
    <w:rsid w:val="00D2755A"/>
    <w:rsid w:val="00DA5100"/>
    <w:rsid w:val="00DA6BE4"/>
    <w:rsid w:val="00DE4492"/>
    <w:rsid w:val="00E01EB7"/>
    <w:rsid w:val="00E15A61"/>
    <w:rsid w:val="00E64C7A"/>
    <w:rsid w:val="00E97D33"/>
    <w:rsid w:val="00EF4394"/>
    <w:rsid w:val="00F3242F"/>
    <w:rsid w:val="00F33759"/>
    <w:rsid w:val="00F40A03"/>
    <w:rsid w:val="00F425A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6708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20985030">
      <w:bodyDiv w:val="1"/>
      <w:marLeft w:val="0"/>
      <w:marRight w:val="0"/>
      <w:marTop w:val="0"/>
      <w:marBottom w:val="0"/>
      <w:divBdr>
        <w:top w:val="none" w:sz="0" w:space="0" w:color="auto"/>
        <w:left w:val="none" w:sz="0" w:space="0" w:color="auto"/>
        <w:bottom w:val="none" w:sz="0" w:space="0" w:color="auto"/>
        <w:right w:val="none" w:sz="0" w:space="0" w:color="auto"/>
      </w:divBdr>
    </w:div>
    <w:div w:id="15339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469704-1bf2-45ce-a62f-db515b16472e">
      <Terms xmlns="http://schemas.microsoft.com/office/infopath/2007/PartnerControls"/>
    </lcf76f155ced4ddcb4097134ff3c332f>
    <TaxCatchAll xmlns="718fee5d-ce45-4ef4-b439-34bb3e5ae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06A0C-8442-4821-9AF7-227227FC9896}">
  <ds:schemaRefs>
    <ds:schemaRef ds:uri="http://schemas.microsoft.com/office/2006/metadata/properties"/>
    <ds:schemaRef ds:uri="http://schemas.microsoft.com/office/infopath/2007/PartnerControls"/>
    <ds:schemaRef ds:uri="41469704-1bf2-45ce-a62f-db515b16472e"/>
    <ds:schemaRef ds:uri="718fee5d-ce45-4ef4-b439-34bb3e5ae35f"/>
  </ds:schemaRefs>
</ds:datastoreItem>
</file>

<file path=customXml/itemProps2.xml><?xml version="1.0" encoding="utf-8"?>
<ds:datastoreItem xmlns:ds="http://schemas.openxmlformats.org/officeDocument/2006/customXml" ds:itemID="{BCA4A523-313E-455B-8B23-C5DC4EDFD5B7}">
  <ds:schemaRefs>
    <ds:schemaRef ds:uri="http://schemas.microsoft.com/sharepoint/v3/contenttype/forms"/>
  </ds:schemaRefs>
</ds:datastoreItem>
</file>

<file path=customXml/itemProps3.xml><?xml version="1.0" encoding="utf-8"?>
<ds:datastoreItem xmlns:ds="http://schemas.openxmlformats.org/officeDocument/2006/customXml" ds:itemID="{A102969C-3633-4F34-9E45-517D1B6CE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2023-11-23T11:28:00Z</dcterms:created>
  <dcterms:modified xsi:type="dcterms:W3CDTF">2023-11-23T11:28:00Z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0x010100E64436DF09CDA640ACA7891B8E40E3CE</vt:lpwstr>
  </property>
</Properties>
</file>