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30698A93">
                <wp:simplePos x="0" y="0"/>
                <wp:positionH relativeFrom="column">
                  <wp:posOffset>-815340</wp:posOffset>
                </wp:positionH>
                <wp:positionV relativeFrom="paragraph">
                  <wp:posOffset>-729615</wp:posOffset>
                </wp:positionV>
                <wp:extent cx="7639050" cy="1885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88595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1563A2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563A2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18FDA0F3" w14:textId="49FAC8C6" w:rsidR="00B300B5" w:rsidRPr="007D66F6" w:rsidRDefault="0098062E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Teaching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2pt;margin-top:-57.45pt;width:601.5pt;height:14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" fillcolor="#00a1a4" stroked="f">
                <v:textbox>
                  <w:txbxContent>
                    <w:p w14:paraId="3B563F68" w14:textId="77777777" w:rsidR="00B300B5" w:rsidRPr="001563A2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563A2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  <w:p w14:paraId="18FDA0F3" w14:textId="49FAC8C6" w:rsidR="00B300B5" w:rsidRPr="007D66F6" w:rsidRDefault="0098062E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Teaching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66D98165" w:rsidR="00A66FFC" w:rsidRDefault="001563A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CE27D91">
                <wp:simplePos x="0" y="0"/>
                <wp:positionH relativeFrom="column">
                  <wp:posOffset>-158115</wp:posOffset>
                </wp:positionH>
                <wp:positionV relativeFrom="paragraph">
                  <wp:posOffset>159385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FC92A3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2.55pt" to="472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" strokecolor="white [3212]" strokeweight="2pt">
                <v:stroke miterlimit="4" joinstyle="miter"/>
              </v:line>
            </w:pict>
          </mc:Fallback>
        </mc:AlternateContent>
      </w:r>
    </w:p>
    <w:p w14:paraId="7C827A46" w14:textId="2C5C2A8F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564AABEE" w:rsidR="00455B38" w:rsidRPr="00CF5DF8" w:rsidRDefault="0027267F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98062E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52D44567" w:rsidR="00455B38" w:rsidRPr="00CF5DF8" w:rsidRDefault="00E53002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First School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51F0C6C6" w:rsidR="00455B38" w:rsidRPr="00CF5DF8" w:rsidRDefault="0027267F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6086B664" w:rsidR="00455B38" w:rsidRPr="00CF5DF8" w:rsidRDefault="00E53002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2B0FFD29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E53002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73603B1E" w:rsidR="00455B38" w:rsidRPr="00CF5DF8" w:rsidRDefault="00E53002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Headteacher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56E38DD" w14:textId="314B36AE" w:rsidR="00A66FFC" w:rsidRPr="00F4325E" w:rsidRDefault="00C051B8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  <w:r w:rsidRPr="00F4325E">
        <w:rPr>
          <w:rFonts w:ascii="Aptos" w:hAnsi="Aptos"/>
          <w:color w:val="auto"/>
          <w:szCs w:val="26"/>
          <w:lang w:val="en-US"/>
        </w:rPr>
        <w:t>The purpose of the role is t</w:t>
      </w:r>
      <w:r w:rsidR="00E741F7" w:rsidRPr="00E741F7">
        <w:rPr>
          <w:rFonts w:ascii="Aptos" w:hAnsi="Aptos"/>
          <w:color w:val="auto"/>
          <w:szCs w:val="26"/>
          <w:lang w:val="en-US"/>
        </w:rPr>
        <w:t>o support pupils’ learning, wellbeing and inclusion by working closely with teachers and the wider school team, helping children to develop socially, emotionally and academically in a safe and nurturing environment.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1E218B00" w14:textId="334DCB96" w:rsidR="00E741F7" w:rsidRPr="00627B9F" w:rsidRDefault="00E741F7" w:rsidP="00627B9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627B9F">
        <w:rPr>
          <w:rFonts w:ascii="Aptos" w:hAnsi="Aptos"/>
          <w:b/>
          <w:bCs/>
          <w:color w:val="008080"/>
          <w:szCs w:val="26"/>
          <w:lang w:val="en-US"/>
        </w:rPr>
        <w:t>Supporting Pupils</w:t>
      </w:r>
    </w:p>
    <w:p w14:paraId="72A9DA4F" w14:textId="77777777" w:rsidR="00675CF6" w:rsidRPr="00675CF6" w:rsidRDefault="00675CF6" w:rsidP="00675CF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75CF6">
        <w:rPr>
          <w:rFonts w:ascii="Aptos" w:hAnsi="Aptos" w:cs="Calibri"/>
        </w:rPr>
        <w:t>Work with individuals or small groups to support learning, independence and development.</w:t>
      </w:r>
    </w:p>
    <w:p w14:paraId="79290EAB" w14:textId="77777777" w:rsidR="00675CF6" w:rsidRPr="00675CF6" w:rsidRDefault="00675CF6" w:rsidP="00675CF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75CF6">
        <w:rPr>
          <w:rFonts w:ascii="Aptos" w:hAnsi="Aptos" w:cs="Calibri"/>
        </w:rPr>
        <w:t xml:space="preserve">Promote confidence, inclusion and positive </w:t>
      </w:r>
      <w:proofErr w:type="spellStart"/>
      <w:r w:rsidRPr="00675CF6">
        <w:rPr>
          <w:rFonts w:ascii="Aptos" w:hAnsi="Aptos" w:cs="Calibri"/>
        </w:rPr>
        <w:t>behaviour</w:t>
      </w:r>
      <w:proofErr w:type="spellEnd"/>
      <w:r w:rsidRPr="00675CF6">
        <w:rPr>
          <w:rFonts w:ascii="Aptos" w:hAnsi="Aptos" w:cs="Calibri"/>
        </w:rPr>
        <w:t xml:space="preserve">, applying the school’s </w:t>
      </w:r>
      <w:proofErr w:type="spellStart"/>
      <w:r w:rsidRPr="00675CF6">
        <w:rPr>
          <w:rFonts w:ascii="Aptos" w:hAnsi="Aptos" w:cs="Calibri"/>
        </w:rPr>
        <w:t>behaviour</w:t>
      </w:r>
      <w:proofErr w:type="spellEnd"/>
      <w:r w:rsidRPr="00675CF6">
        <w:rPr>
          <w:rFonts w:ascii="Aptos" w:hAnsi="Aptos" w:cs="Calibri"/>
        </w:rPr>
        <w:t xml:space="preserve"> policy appropriately.</w:t>
      </w:r>
    </w:p>
    <w:p w14:paraId="3724ADA2" w14:textId="77777777" w:rsidR="00675CF6" w:rsidRPr="00675CF6" w:rsidRDefault="00675CF6" w:rsidP="00675CF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75CF6">
        <w:rPr>
          <w:rFonts w:ascii="Aptos" w:hAnsi="Aptos" w:cs="Calibri"/>
        </w:rPr>
        <w:t>Ensure pupils’ safety, wellbeing and engagement in lessons and during unstructured times.</w:t>
      </w:r>
    </w:p>
    <w:p w14:paraId="1525EEE7" w14:textId="77777777" w:rsidR="00675CF6" w:rsidRPr="00675CF6" w:rsidRDefault="00675CF6" w:rsidP="00675CF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75CF6">
        <w:rPr>
          <w:rFonts w:ascii="Aptos" w:hAnsi="Aptos" w:cs="Calibri"/>
        </w:rPr>
        <w:t>Supervise pupils at break and lunchtime, supporting safe movement around the school and encouraging positive play and social interaction.</w:t>
      </w:r>
    </w:p>
    <w:p w14:paraId="2B9DBFDB" w14:textId="6B4ADF98" w:rsidR="00746142" w:rsidRDefault="00675CF6" w:rsidP="00675CF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proofErr w:type="gramStart"/>
      <w:r w:rsidRPr="00675CF6">
        <w:rPr>
          <w:rFonts w:ascii="Aptos" w:hAnsi="Aptos" w:cs="Calibri"/>
        </w:rPr>
        <w:t>Support</w:t>
      </w:r>
      <w:proofErr w:type="gramEnd"/>
      <w:r w:rsidRPr="00675CF6">
        <w:rPr>
          <w:rFonts w:ascii="Aptos" w:hAnsi="Aptos" w:cs="Calibri"/>
        </w:rPr>
        <w:t xml:space="preserve"> pupils with personal care and hygiene needs where required, responding with sensitivity and respect</w:t>
      </w:r>
    </w:p>
    <w:p w14:paraId="7EB2250A" w14:textId="77777777" w:rsidR="00675CF6" w:rsidRDefault="00675CF6" w:rsidP="00675CF6">
      <w:pPr>
        <w:pStyle w:val="Text"/>
        <w:spacing w:after="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4D7AAF58" w14:textId="5E316DB6" w:rsidR="00627B9F" w:rsidRPr="00627B9F" w:rsidRDefault="00627B9F" w:rsidP="00627B9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627B9F">
        <w:rPr>
          <w:rFonts w:ascii="Aptos" w:hAnsi="Aptos"/>
          <w:b/>
          <w:bCs/>
          <w:color w:val="008080"/>
          <w:szCs w:val="26"/>
          <w:lang w:val="en-US"/>
        </w:rPr>
        <w:t>Supporting Teaching and Learning</w:t>
      </w:r>
    </w:p>
    <w:p w14:paraId="5AD0E288" w14:textId="77777777" w:rsidR="000D335A" w:rsidRPr="000D335A" w:rsidRDefault="000D335A" w:rsidP="000D335A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D335A">
        <w:rPr>
          <w:rFonts w:ascii="Aptos" w:hAnsi="Aptos" w:cs="Calibri"/>
        </w:rPr>
        <w:t>Deliver planned learning activities under the direction of the teacher.</w:t>
      </w:r>
    </w:p>
    <w:p w14:paraId="1A8F5612" w14:textId="77777777" w:rsidR="000D335A" w:rsidRPr="000D335A" w:rsidRDefault="000D335A" w:rsidP="000D335A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D335A">
        <w:rPr>
          <w:rFonts w:ascii="Aptos" w:hAnsi="Aptos" w:cs="Calibri"/>
        </w:rPr>
        <w:t>Adapt support to meet pupils’ individual needs, including those with SEND.</w:t>
      </w:r>
    </w:p>
    <w:p w14:paraId="07E5C224" w14:textId="77777777" w:rsidR="000D335A" w:rsidRPr="000D335A" w:rsidRDefault="000D335A" w:rsidP="000D335A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D335A">
        <w:rPr>
          <w:rFonts w:ascii="Aptos" w:hAnsi="Aptos" w:cs="Calibri"/>
        </w:rPr>
        <w:t>Observe pupils’ progress and wellbeing, providing timely feedback to teachers.</w:t>
      </w:r>
    </w:p>
    <w:p w14:paraId="14558B24" w14:textId="77777777" w:rsidR="000D335A" w:rsidRPr="000D335A" w:rsidRDefault="000D335A" w:rsidP="000D335A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D335A">
        <w:rPr>
          <w:rFonts w:ascii="Aptos" w:hAnsi="Aptos" w:cs="Calibri"/>
        </w:rPr>
        <w:t>Maintain simple, accurate records to support monitoring of pupils’ development.</w:t>
      </w:r>
    </w:p>
    <w:p w14:paraId="74FEB84C" w14:textId="30C79010" w:rsidR="00627B9F" w:rsidRDefault="000D335A" w:rsidP="000D335A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D335A">
        <w:rPr>
          <w:rFonts w:ascii="Aptos" w:hAnsi="Aptos" w:cs="Calibri"/>
        </w:rPr>
        <w:t>Help create a calm, purposeful and well-</w:t>
      </w:r>
      <w:proofErr w:type="spellStart"/>
      <w:r w:rsidRPr="000D335A">
        <w:rPr>
          <w:rFonts w:ascii="Aptos" w:hAnsi="Aptos" w:cs="Calibri"/>
        </w:rPr>
        <w:t>organised</w:t>
      </w:r>
      <w:proofErr w:type="spellEnd"/>
      <w:r w:rsidRPr="000D335A">
        <w:rPr>
          <w:rFonts w:ascii="Aptos" w:hAnsi="Aptos" w:cs="Calibri"/>
        </w:rPr>
        <w:t xml:space="preserve"> learning environment</w:t>
      </w:r>
    </w:p>
    <w:p w14:paraId="181A1BB5" w14:textId="77777777" w:rsidR="000D335A" w:rsidRPr="000D335A" w:rsidRDefault="000D335A" w:rsidP="000D335A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hAnsi="Aptos" w:cs="Calibri"/>
        </w:rPr>
      </w:pPr>
    </w:p>
    <w:p w14:paraId="5896F862" w14:textId="23453FE0" w:rsidR="00627B9F" w:rsidRPr="00627B9F" w:rsidRDefault="00627B9F" w:rsidP="00627B9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627B9F">
        <w:rPr>
          <w:rFonts w:ascii="Aptos" w:hAnsi="Aptos"/>
          <w:b/>
          <w:bCs/>
          <w:color w:val="008080"/>
          <w:szCs w:val="26"/>
          <w:lang w:val="en-US"/>
        </w:rPr>
        <w:t>Supporting the School Community</w:t>
      </w:r>
    </w:p>
    <w:p w14:paraId="1970B70F" w14:textId="3CBF5ADE" w:rsidR="00627B9F" w:rsidRPr="007416AC" w:rsidRDefault="00627B9F" w:rsidP="007416A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416AC">
        <w:rPr>
          <w:rFonts w:ascii="Aptos" w:hAnsi="Aptos" w:cs="Calibri"/>
        </w:rPr>
        <w:t>Work collaboratively with colleagues and communicate appropriately with parents when needed.</w:t>
      </w:r>
    </w:p>
    <w:p w14:paraId="142B68E8" w14:textId="77777777" w:rsidR="00627B9F" w:rsidRDefault="00627B9F" w:rsidP="007416A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416AC">
        <w:rPr>
          <w:rFonts w:ascii="Aptos" w:hAnsi="Aptos" w:cs="Calibri"/>
        </w:rPr>
        <w:lastRenderedPageBreak/>
        <w:t>Contribute positively to the wider life of the school and take part in training and development.</w:t>
      </w:r>
    </w:p>
    <w:p w14:paraId="725DADC3" w14:textId="66D7B4DB" w:rsidR="00BD3E90" w:rsidRPr="007416AC" w:rsidRDefault="00BD3E90" w:rsidP="007416A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BD3E90">
        <w:rPr>
          <w:rFonts w:ascii="Aptos" w:hAnsi="Aptos" w:cs="Calibri"/>
        </w:rPr>
        <w:t>Respond appropriately to incidents, seeking support from senior staff when needed.</w:t>
      </w:r>
    </w:p>
    <w:p w14:paraId="78354DC0" w14:textId="6064576F" w:rsidR="00746142" w:rsidRPr="007416AC" w:rsidRDefault="00627B9F" w:rsidP="007416A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416AC">
        <w:rPr>
          <w:rFonts w:ascii="Aptos" w:hAnsi="Aptos" w:cs="Calibri"/>
        </w:rPr>
        <w:t xml:space="preserve">Maintain confidentiality and </w:t>
      </w:r>
      <w:proofErr w:type="gramStart"/>
      <w:r w:rsidRPr="007416AC">
        <w:rPr>
          <w:rFonts w:ascii="Aptos" w:hAnsi="Aptos" w:cs="Calibri"/>
        </w:rPr>
        <w:t>act with professionalism at all times</w:t>
      </w:r>
      <w:proofErr w:type="gramEnd"/>
      <w:r w:rsidRPr="007416AC">
        <w:rPr>
          <w:rFonts w:ascii="Aptos" w:hAnsi="Aptos" w:cs="Calibri"/>
        </w:rPr>
        <w:t>.</w:t>
      </w: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123B0954" w14:textId="77777777" w:rsid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GCSEs (or equivalent) in English and </w:t>
            </w:r>
            <w:proofErr w:type="spellStart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>Maths</w:t>
            </w:r>
            <w:proofErr w:type="spellEnd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, or relevant experience   </w:t>
            </w:r>
          </w:p>
          <w:p w14:paraId="76DF1DFF" w14:textId="75DBF460" w:rsidR="00455B38" w:rsidRP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>Experience working with children or young people</w:t>
            </w:r>
          </w:p>
          <w:p w14:paraId="766EA216" w14:textId="590AC047" w:rsidR="00455B38" w:rsidRPr="00CD188E" w:rsidRDefault="00455B38" w:rsidP="00A35F4D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9C94CF4" w14:textId="393860B2" w:rsidR="00455B38" w:rsidRP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>Relevant childcare or education qualification (e.g. NVQ Level 2</w:t>
            </w:r>
          </w:p>
          <w:p w14:paraId="5C0012ED" w14:textId="1B94A669" w:rsidR="00455B38" w:rsidRPr="00A35F4D" w:rsidRDefault="00455B38" w:rsidP="00A35F4D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43D2E4D8" w14:textId="77777777" w:rsid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Good communication and interpersonal skills   </w:t>
            </w:r>
          </w:p>
          <w:p w14:paraId="771FA0E2" w14:textId="77777777" w:rsid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Ability to support pupils with a range of needs, including SEND   </w:t>
            </w:r>
          </w:p>
          <w:p w14:paraId="593B3714" w14:textId="77777777" w:rsid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Understanding of safeguarding, </w:t>
            </w:r>
            <w:proofErr w:type="spellStart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 and inclusion   </w:t>
            </w:r>
          </w:p>
          <w:p w14:paraId="6A5D7E9D" w14:textId="77777777" w:rsid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Ability to stay calm, </w:t>
            </w:r>
            <w:proofErr w:type="spellStart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>organised</w:t>
            </w:r>
            <w:proofErr w:type="spellEnd"/>
            <w:r w:rsidRPr="00390619">
              <w:rPr>
                <w:rFonts w:ascii="Aptos" w:hAnsi="Aptos"/>
                <w:color w:val="3E6C74"/>
                <w:sz w:val="22"/>
                <w:szCs w:val="22"/>
              </w:rPr>
              <w:t xml:space="preserve"> and responsive in a busy environment   </w:t>
            </w:r>
          </w:p>
          <w:p w14:paraId="0B37551A" w14:textId="69A14192" w:rsidR="00455B38" w:rsidRPr="00390619" w:rsidRDefault="00390619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390619">
              <w:rPr>
                <w:rFonts w:ascii="Aptos" w:hAnsi="Aptos"/>
                <w:color w:val="3E6C74"/>
                <w:sz w:val="22"/>
                <w:szCs w:val="22"/>
              </w:rPr>
              <w:t>Ability to work both independently and as part of a team</w:t>
            </w:r>
          </w:p>
          <w:p w14:paraId="427FECBB" w14:textId="0E0A3531" w:rsidR="00455B38" w:rsidRPr="00CD188E" w:rsidRDefault="00455B38" w:rsidP="00A35F4D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EE82848" w14:textId="77777777" w:rsidR="00A35F4D" w:rsidRDefault="00A35F4D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A35F4D">
              <w:rPr>
                <w:rFonts w:ascii="Aptos" w:hAnsi="Aptos"/>
                <w:color w:val="3E6C74"/>
                <w:sz w:val="22"/>
                <w:szCs w:val="22"/>
              </w:rPr>
              <w:t xml:space="preserve">Knowledge of Individual Learning Plans or similar approaches   </w:t>
            </w:r>
          </w:p>
          <w:p w14:paraId="4BA3C140" w14:textId="6295FBC2" w:rsidR="00455B38" w:rsidRPr="00CD188E" w:rsidRDefault="00A35F4D" w:rsidP="00A35F4D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A35F4D">
              <w:rPr>
                <w:rFonts w:ascii="Aptos" w:hAnsi="Aptos"/>
                <w:color w:val="3E6C74"/>
                <w:sz w:val="22"/>
                <w:szCs w:val="22"/>
              </w:rPr>
              <w:t>Basic first aid knowledge</w:t>
            </w:r>
          </w:p>
          <w:p w14:paraId="440680E8" w14:textId="21DCC3CC" w:rsidR="00455B38" w:rsidRPr="00A35F4D" w:rsidRDefault="00455B38" w:rsidP="00A35F4D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00418A8F" w14:textId="22A7009D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67085F54" w14:textId="5175841E" w:rsidR="00455B38" w:rsidRPr="00A35F4D" w:rsidRDefault="00CE558E" w:rsidP="00455B38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2E0FFF18" w14:textId="1033FE82" w:rsidR="00455B38" w:rsidRPr="007B12A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Default="00455B38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455B38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1B31D08" w14:textId="77777777" w:rsidR="00736FE7" w:rsidRDefault="00736FE7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736FE7">
              <w:rPr>
                <w:rFonts w:ascii="Aptos" w:hAnsi="Aptos"/>
                <w:color w:val="3E6C74"/>
                <w:sz w:val="22"/>
                <w:szCs w:val="22"/>
              </w:rPr>
              <w:t xml:space="preserve">Commitment to safeguarding and promoting the welfare of children   </w:t>
            </w:r>
          </w:p>
          <w:p w14:paraId="5424ED1D" w14:textId="510897C4" w:rsidR="00736FE7" w:rsidRPr="00455B38" w:rsidRDefault="00736FE7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736FE7">
              <w:rPr>
                <w:rFonts w:ascii="Aptos" w:hAnsi="Aptos"/>
                <w:color w:val="3E6C74"/>
                <w:sz w:val="22"/>
                <w:szCs w:val="22"/>
              </w:rPr>
              <w:t xml:space="preserve">Willingness to undertake training and development  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0007" w14:textId="77777777" w:rsidR="002928D6" w:rsidRDefault="002928D6">
      <w:r>
        <w:separator/>
      </w:r>
    </w:p>
  </w:endnote>
  <w:endnote w:type="continuationSeparator" w:id="0">
    <w:p w14:paraId="3674D02A" w14:textId="77777777" w:rsidR="002928D6" w:rsidRDefault="0029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614C" w14:textId="77777777" w:rsidR="002928D6" w:rsidRDefault="002928D6">
      <w:r>
        <w:separator/>
      </w:r>
    </w:p>
  </w:footnote>
  <w:footnote w:type="continuationSeparator" w:id="0">
    <w:p w14:paraId="5201B169" w14:textId="77777777" w:rsidR="002928D6" w:rsidRDefault="0029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3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3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2"/>
  </w:num>
  <w:num w:numId="2" w16cid:durableId="1839031612">
    <w:abstractNumId w:val="35"/>
  </w:num>
  <w:num w:numId="3" w16cid:durableId="1700739601">
    <w:abstractNumId w:val="34"/>
  </w:num>
  <w:num w:numId="4" w16cid:durableId="195701973">
    <w:abstractNumId w:val="23"/>
  </w:num>
  <w:num w:numId="5" w16cid:durableId="1113596351">
    <w:abstractNumId w:val="9"/>
  </w:num>
  <w:num w:numId="6" w16cid:durableId="870073976">
    <w:abstractNumId w:val="43"/>
  </w:num>
  <w:num w:numId="7" w16cid:durableId="1505432756">
    <w:abstractNumId w:val="26"/>
  </w:num>
  <w:num w:numId="8" w16cid:durableId="1410807125">
    <w:abstractNumId w:val="3"/>
  </w:num>
  <w:num w:numId="9" w16cid:durableId="1951889098">
    <w:abstractNumId w:val="42"/>
  </w:num>
  <w:num w:numId="10" w16cid:durableId="1904755452">
    <w:abstractNumId w:val="8"/>
  </w:num>
  <w:num w:numId="11" w16cid:durableId="1168056824">
    <w:abstractNumId w:val="24"/>
  </w:num>
  <w:num w:numId="12" w16cid:durableId="1198548858">
    <w:abstractNumId w:val="7"/>
  </w:num>
  <w:num w:numId="13" w16cid:durableId="1278876665">
    <w:abstractNumId w:val="38"/>
  </w:num>
  <w:num w:numId="14" w16cid:durableId="49349799">
    <w:abstractNumId w:val="36"/>
  </w:num>
  <w:num w:numId="15" w16cid:durableId="898980161">
    <w:abstractNumId w:val="25"/>
  </w:num>
  <w:num w:numId="16" w16cid:durableId="1439909228">
    <w:abstractNumId w:val="7"/>
  </w:num>
  <w:num w:numId="17" w16cid:durableId="774667647">
    <w:abstractNumId w:val="21"/>
  </w:num>
  <w:num w:numId="18" w16cid:durableId="16279626">
    <w:abstractNumId w:val="18"/>
  </w:num>
  <w:num w:numId="19" w16cid:durableId="1507669114">
    <w:abstractNumId w:val="39"/>
  </w:num>
  <w:num w:numId="20" w16cid:durableId="2057659899">
    <w:abstractNumId w:val="11"/>
  </w:num>
  <w:num w:numId="21" w16cid:durableId="1434784820">
    <w:abstractNumId w:val="22"/>
  </w:num>
  <w:num w:numId="22" w16cid:durableId="1734044333">
    <w:abstractNumId w:val="13"/>
  </w:num>
  <w:num w:numId="23" w16cid:durableId="133791029">
    <w:abstractNumId w:val="17"/>
  </w:num>
  <w:num w:numId="24" w16cid:durableId="42757224">
    <w:abstractNumId w:val="10"/>
  </w:num>
  <w:num w:numId="25" w16cid:durableId="1938098354">
    <w:abstractNumId w:val="20"/>
  </w:num>
  <w:num w:numId="26" w16cid:durableId="1063992312">
    <w:abstractNumId w:val="31"/>
  </w:num>
  <w:num w:numId="27" w16cid:durableId="1251159745">
    <w:abstractNumId w:val="28"/>
  </w:num>
  <w:num w:numId="28" w16cid:durableId="573979578">
    <w:abstractNumId w:val="4"/>
  </w:num>
  <w:num w:numId="29" w16cid:durableId="24410761">
    <w:abstractNumId w:val="15"/>
  </w:num>
  <w:num w:numId="30" w16cid:durableId="667101405">
    <w:abstractNumId w:val="29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4"/>
  </w:num>
  <w:num w:numId="34" w16cid:durableId="728725509">
    <w:abstractNumId w:val="41"/>
  </w:num>
  <w:num w:numId="35" w16cid:durableId="1472288162">
    <w:abstractNumId w:val="19"/>
  </w:num>
  <w:num w:numId="36" w16cid:durableId="1837726351">
    <w:abstractNumId w:val="6"/>
  </w:num>
  <w:num w:numId="37" w16cid:durableId="1209104438">
    <w:abstractNumId w:val="27"/>
  </w:num>
  <w:num w:numId="38" w16cid:durableId="1250188995">
    <w:abstractNumId w:val="40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0"/>
  </w:num>
  <w:num w:numId="42" w16cid:durableId="261843759">
    <w:abstractNumId w:val="16"/>
  </w:num>
  <w:num w:numId="43" w16cid:durableId="972489571">
    <w:abstractNumId w:val="12"/>
  </w:num>
  <w:num w:numId="44" w16cid:durableId="2031755655">
    <w:abstractNumId w:val="37"/>
  </w:num>
  <w:num w:numId="45" w16cid:durableId="19177371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D149F"/>
    <w:rsid w:val="000D335A"/>
    <w:rsid w:val="000E3A74"/>
    <w:rsid w:val="00102BC0"/>
    <w:rsid w:val="00131820"/>
    <w:rsid w:val="00137275"/>
    <w:rsid w:val="00144D48"/>
    <w:rsid w:val="001563A2"/>
    <w:rsid w:val="0018197F"/>
    <w:rsid w:val="00191CAB"/>
    <w:rsid w:val="001B4CA9"/>
    <w:rsid w:val="001D3CC1"/>
    <w:rsid w:val="001D42CB"/>
    <w:rsid w:val="00216209"/>
    <w:rsid w:val="00236556"/>
    <w:rsid w:val="0027267F"/>
    <w:rsid w:val="0027538D"/>
    <w:rsid w:val="0027751E"/>
    <w:rsid w:val="00281DF2"/>
    <w:rsid w:val="002928D6"/>
    <w:rsid w:val="00292D2C"/>
    <w:rsid w:val="002973D6"/>
    <w:rsid w:val="002A5054"/>
    <w:rsid w:val="002C4FFB"/>
    <w:rsid w:val="00317DF2"/>
    <w:rsid w:val="00320331"/>
    <w:rsid w:val="00324AE0"/>
    <w:rsid w:val="00343979"/>
    <w:rsid w:val="00355675"/>
    <w:rsid w:val="00367A62"/>
    <w:rsid w:val="00383494"/>
    <w:rsid w:val="00390619"/>
    <w:rsid w:val="003B7102"/>
    <w:rsid w:val="003E3FF5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3EC7"/>
    <w:rsid w:val="00505EF0"/>
    <w:rsid w:val="00514461"/>
    <w:rsid w:val="005359B9"/>
    <w:rsid w:val="005444FC"/>
    <w:rsid w:val="00555376"/>
    <w:rsid w:val="005B7D2C"/>
    <w:rsid w:val="005C6996"/>
    <w:rsid w:val="005D03AE"/>
    <w:rsid w:val="005D4EEA"/>
    <w:rsid w:val="005F6D11"/>
    <w:rsid w:val="00610099"/>
    <w:rsid w:val="00610577"/>
    <w:rsid w:val="00627B9F"/>
    <w:rsid w:val="00656597"/>
    <w:rsid w:val="006570B7"/>
    <w:rsid w:val="00663F51"/>
    <w:rsid w:val="00667D07"/>
    <w:rsid w:val="00675CF6"/>
    <w:rsid w:val="006866B0"/>
    <w:rsid w:val="00693009"/>
    <w:rsid w:val="006A3F90"/>
    <w:rsid w:val="006C4138"/>
    <w:rsid w:val="006E06C9"/>
    <w:rsid w:val="006E6A16"/>
    <w:rsid w:val="00710D20"/>
    <w:rsid w:val="0072055A"/>
    <w:rsid w:val="00733902"/>
    <w:rsid w:val="00736FE7"/>
    <w:rsid w:val="007416AC"/>
    <w:rsid w:val="00746142"/>
    <w:rsid w:val="00746827"/>
    <w:rsid w:val="007B12A8"/>
    <w:rsid w:val="007D4A68"/>
    <w:rsid w:val="007D66F6"/>
    <w:rsid w:val="007D73E4"/>
    <w:rsid w:val="008045A9"/>
    <w:rsid w:val="00811295"/>
    <w:rsid w:val="008115D1"/>
    <w:rsid w:val="00822E3C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8062E"/>
    <w:rsid w:val="009B363B"/>
    <w:rsid w:val="009B5921"/>
    <w:rsid w:val="009C44AC"/>
    <w:rsid w:val="009F14FA"/>
    <w:rsid w:val="00A07597"/>
    <w:rsid w:val="00A30E93"/>
    <w:rsid w:val="00A35F4D"/>
    <w:rsid w:val="00A6257E"/>
    <w:rsid w:val="00A66FFC"/>
    <w:rsid w:val="00A77F3B"/>
    <w:rsid w:val="00A9432C"/>
    <w:rsid w:val="00AB334C"/>
    <w:rsid w:val="00AB4818"/>
    <w:rsid w:val="00AF3604"/>
    <w:rsid w:val="00AF4275"/>
    <w:rsid w:val="00B05FE4"/>
    <w:rsid w:val="00B064BC"/>
    <w:rsid w:val="00B300B5"/>
    <w:rsid w:val="00B30616"/>
    <w:rsid w:val="00B35A79"/>
    <w:rsid w:val="00B51696"/>
    <w:rsid w:val="00B656BF"/>
    <w:rsid w:val="00B74C3F"/>
    <w:rsid w:val="00B976B3"/>
    <w:rsid w:val="00BC09E0"/>
    <w:rsid w:val="00BC22CB"/>
    <w:rsid w:val="00BC4F77"/>
    <w:rsid w:val="00BD3E90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504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D3EB3"/>
    <w:rsid w:val="00CE37D1"/>
    <w:rsid w:val="00CE558E"/>
    <w:rsid w:val="00CF2C76"/>
    <w:rsid w:val="00CF5DF8"/>
    <w:rsid w:val="00D01C18"/>
    <w:rsid w:val="00D055D8"/>
    <w:rsid w:val="00D15B75"/>
    <w:rsid w:val="00D5325F"/>
    <w:rsid w:val="00D560E9"/>
    <w:rsid w:val="00DC7878"/>
    <w:rsid w:val="00DF00B6"/>
    <w:rsid w:val="00DF44D2"/>
    <w:rsid w:val="00E00BB7"/>
    <w:rsid w:val="00E53002"/>
    <w:rsid w:val="00E64F31"/>
    <w:rsid w:val="00E724A7"/>
    <w:rsid w:val="00E741F7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A765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116</cp:revision>
  <cp:lastPrinted>2026-01-07T15:47:00Z</cp:lastPrinted>
  <dcterms:created xsi:type="dcterms:W3CDTF">2026-01-08T11:53:00Z</dcterms:created>
  <dcterms:modified xsi:type="dcterms:W3CDTF">2026-05-22T10:25:00Z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