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hd w:val="clear" w:color="auto" w:fill="FFFFFF"/>
        <w:spacing w:after="160"/>
        <w:jc w:val="center"/>
        <w:rPr>
          <w:rFonts w:ascii="Century Gothic" w:eastAsia="Century Gothic" w:hAnsi="Century Gothic" w:cs="Century Gothic"/>
          <w:sz w:val="20"/>
          <w:szCs w:val="20"/>
        </w:rPr>
      </w:pPr>
      <w:r>
        <w:rPr>
          <w:rFonts w:ascii="Century Gothic" w:eastAsia="Century Gothic" w:hAnsi="Century Gothic" w:cs="Century Gothic"/>
          <w:noProof/>
          <w:sz w:val="24"/>
          <w:szCs w:val="24"/>
        </w:rPr>
        <w:drawing>
          <wp:inline distT="0" distB="0" distL="0" distR="0">
            <wp:extent cx="1628775" cy="1435404"/>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628775" cy="1435404"/>
                    </a:xfrm>
                    <a:prstGeom prst="rect">
                      <a:avLst/>
                    </a:prstGeom>
                    <a:ln/>
                  </pic:spPr>
                </pic:pic>
              </a:graphicData>
            </a:graphic>
          </wp:inline>
        </w:drawing>
      </w:r>
    </w:p>
    <w:p>
      <w:pPr>
        <w:shd w:val="clear" w:color="auto" w:fill="FFFFFF"/>
        <w:spacing w:after="160"/>
        <w:jc w:val="center"/>
        <w:rPr>
          <w:rFonts w:ascii="Century Gothic" w:eastAsia="Century Gothic" w:hAnsi="Century Gothic" w:cs="Century Gothic"/>
          <w:sz w:val="20"/>
          <w:szCs w:val="20"/>
        </w:rPr>
      </w:pPr>
    </w:p>
    <w:p>
      <w:pPr>
        <w:shd w:val="clear" w:color="auto" w:fill="FFFFFF"/>
        <w:spacing w:before="240" w:after="240"/>
        <w:jc w:val="center"/>
        <w:rPr>
          <w:rFonts w:asciiTheme="majorHAnsi" w:eastAsia="Calibri" w:hAnsiTheme="majorHAnsi" w:cstheme="majorHAnsi"/>
          <w:b/>
          <w:color w:val="222222"/>
          <w:sz w:val="26"/>
          <w:szCs w:val="26"/>
        </w:rPr>
      </w:pPr>
      <w:r>
        <w:rPr>
          <w:rFonts w:asciiTheme="majorHAnsi" w:eastAsia="Calibri" w:hAnsiTheme="majorHAnsi" w:cstheme="majorHAnsi"/>
          <w:noProof/>
          <w:color w:val="222222"/>
          <w:sz w:val="26"/>
          <w:szCs w:val="26"/>
        </w:rPr>
        <w:drawing>
          <wp:inline distT="114300" distB="114300" distL="114300" distR="114300">
            <wp:extent cx="4143375" cy="542925"/>
            <wp:effectExtent l="0" t="0" r="9525" b="9525"/>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39491" cy="568623"/>
                    </a:xfrm>
                    <a:prstGeom prst="rect">
                      <a:avLst/>
                    </a:prstGeom>
                    <a:ln/>
                  </pic:spPr>
                </pic:pic>
              </a:graphicData>
            </a:graphic>
          </wp:inline>
        </w:drawing>
      </w:r>
    </w:p>
    <w:p>
      <w:pPr>
        <w:jc w:val="center"/>
      </w:pPr>
    </w:p>
    <w:p>
      <w:pPr>
        <w:jc w:val="center"/>
      </w:pPr>
      <w:bookmarkStart w:id="0" w:name="_Hlk105480691"/>
    </w:p>
    <w:p>
      <w:pPr>
        <w:jc w:val="center"/>
        <w:rPr>
          <w:rFonts w:ascii="Calibri" w:eastAsia="Calibri" w:hAnsi="Calibri" w:cs="Calibri"/>
          <w:b/>
          <w:sz w:val="56"/>
          <w:szCs w:val="56"/>
        </w:rPr>
      </w:pPr>
      <w:r>
        <w:rPr>
          <w:rFonts w:ascii="Calibri" w:eastAsia="Calibri" w:hAnsi="Calibri" w:cs="Calibri"/>
          <w:b/>
          <w:sz w:val="56"/>
          <w:szCs w:val="56"/>
        </w:rPr>
        <w:t>Recruitment Pack</w:t>
      </w:r>
    </w:p>
    <w:p>
      <w:pPr>
        <w:rPr>
          <w:rFonts w:ascii="Calibri" w:eastAsia="Calibri" w:hAnsi="Calibri" w:cs="Calibri"/>
          <w:sz w:val="46"/>
          <w:szCs w:val="46"/>
        </w:rPr>
      </w:pPr>
    </w:p>
    <w:p>
      <w:pPr>
        <w:rPr>
          <w:rFonts w:ascii="Calibri" w:eastAsia="Calibri" w:hAnsi="Calibri" w:cs="Calibri"/>
          <w:sz w:val="46"/>
          <w:szCs w:val="46"/>
        </w:rPr>
      </w:pPr>
    </w:p>
    <w:p>
      <w:pPr>
        <w:rPr>
          <w:rFonts w:ascii="Calibri" w:eastAsia="Calibri" w:hAnsi="Calibri" w:cs="Calibri"/>
          <w:sz w:val="46"/>
          <w:szCs w:val="46"/>
        </w:rPr>
      </w:pPr>
    </w:p>
    <w:tbl>
      <w:tblPr>
        <w:tblStyle w:val="a"/>
        <w:tblW w:w="9360" w:type="dxa"/>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600" w:firstRow="0" w:lastRow="0" w:firstColumn="0" w:lastColumn="0" w:noHBand="1" w:noVBand="1"/>
      </w:tblPr>
      <w:tblGrid>
        <w:gridCol w:w="9360"/>
      </w:tblGrid>
      <w:tr>
        <w:trPr>
          <w:jc w:val="center"/>
        </w:trPr>
        <w:tc>
          <w:tcPr>
            <w:tcW w:w="9360" w:type="dxa"/>
            <w:shd w:val="clear" w:color="auto" w:fill="auto"/>
            <w:tcMar>
              <w:top w:w="100" w:type="dxa"/>
              <w:left w:w="100" w:type="dxa"/>
              <w:bottom w:w="100" w:type="dxa"/>
              <w:right w:w="100" w:type="dxa"/>
            </w:tcMar>
          </w:tcPr>
          <w:p>
            <w:pPr>
              <w:shd w:val="clear" w:color="auto" w:fill="FFFFFF"/>
              <w:jc w:val="center"/>
              <w:rPr>
                <w:rFonts w:asciiTheme="majorHAnsi" w:eastAsia="Calibri" w:hAnsiTheme="majorHAnsi" w:cstheme="majorHAnsi"/>
                <w:b/>
                <w:color w:val="222222"/>
                <w:sz w:val="56"/>
                <w:szCs w:val="56"/>
              </w:rPr>
            </w:pPr>
          </w:p>
          <w:p>
            <w:pPr>
              <w:shd w:val="clear" w:color="auto" w:fill="FFFFFF"/>
              <w:jc w:val="center"/>
              <w:rPr>
                <w:rFonts w:asciiTheme="majorHAnsi" w:eastAsia="Calibri" w:hAnsiTheme="majorHAnsi" w:cstheme="majorHAnsi"/>
                <w:b/>
                <w:color w:val="222222"/>
                <w:sz w:val="56"/>
                <w:szCs w:val="56"/>
              </w:rPr>
            </w:pPr>
            <w:r>
              <w:rPr>
                <w:rFonts w:asciiTheme="majorHAnsi" w:eastAsia="Calibri" w:hAnsiTheme="majorHAnsi" w:cstheme="majorHAnsi"/>
                <w:b/>
                <w:color w:val="222222"/>
                <w:sz w:val="56"/>
                <w:szCs w:val="56"/>
              </w:rPr>
              <w:t xml:space="preserve">Upper </w:t>
            </w:r>
            <w:proofErr w:type="spellStart"/>
            <w:r>
              <w:rPr>
                <w:rFonts w:asciiTheme="majorHAnsi" w:eastAsia="Calibri" w:hAnsiTheme="majorHAnsi" w:cstheme="majorHAnsi"/>
                <w:b/>
                <w:color w:val="222222"/>
                <w:sz w:val="56"/>
                <w:szCs w:val="56"/>
              </w:rPr>
              <w:t>Keystage</w:t>
            </w:r>
            <w:proofErr w:type="spellEnd"/>
            <w:r>
              <w:rPr>
                <w:rFonts w:asciiTheme="majorHAnsi" w:eastAsia="Calibri" w:hAnsiTheme="majorHAnsi" w:cstheme="majorHAnsi"/>
                <w:b/>
                <w:color w:val="222222"/>
                <w:sz w:val="56"/>
                <w:szCs w:val="56"/>
              </w:rPr>
              <w:t xml:space="preserve"> 2 Class teacher</w:t>
            </w:r>
          </w:p>
          <w:p>
            <w:pPr>
              <w:shd w:val="clear" w:color="auto" w:fill="FFFFFF"/>
              <w:jc w:val="center"/>
              <w:rPr>
                <w:rFonts w:asciiTheme="majorHAnsi" w:eastAsia="Calibri" w:hAnsiTheme="majorHAnsi" w:cstheme="majorHAnsi"/>
                <w:b/>
                <w:color w:val="222222"/>
                <w:sz w:val="36"/>
                <w:szCs w:val="36"/>
              </w:rPr>
            </w:pPr>
            <w:r>
              <w:rPr>
                <w:rFonts w:asciiTheme="majorHAnsi" w:eastAsia="Calibri" w:hAnsiTheme="majorHAnsi" w:cstheme="majorHAnsi"/>
                <w:b/>
                <w:color w:val="222222"/>
                <w:sz w:val="36"/>
                <w:szCs w:val="36"/>
              </w:rPr>
              <w:t>with a TLR for Leading on Rights Respecting Schools</w:t>
            </w:r>
          </w:p>
          <w:p>
            <w:pPr>
              <w:shd w:val="clear" w:color="auto" w:fill="FFFFFF"/>
              <w:jc w:val="center"/>
              <w:rPr>
                <w:rFonts w:asciiTheme="majorHAnsi" w:eastAsia="Calibri" w:hAnsiTheme="majorHAnsi" w:cstheme="majorHAnsi"/>
                <w:b/>
                <w:color w:val="222222"/>
                <w:sz w:val="26"/>
                <w:szCs w:val="26"/>
              </w:rPr>
            </w:pPr>
            <w:r>
              <w:rPr>
                <w:rFonts w:asciiTheme="majorHAnsi" w:eastAsia="Calibri" w:hAnsiTheme="majorHAnsi" w:cstheme="majorHAnsi"/>
                <w:b/>
                <w:color w:val="222222"/>
                <w:sz w:val="26"/>
                <w:szCs w:val="26"/>
              </w:rPr>
              <w:t>Permanent Full Time Contract</w:t>
            </w:r>
          </w:p>
          <w:p>
            <w:pPr>
              <w:shd w:val="clear" w:color="auto" w:fill="FFFFFF"/>
              <w:jc w:val="center"/>
              <w:rPr>
                <w:rFonts w:asciiTheme="majorHAnsi" w:eastAsia="Calibri" w:hAnsiTheme="majorHAnsi" w:cstheme="majorHAnsi"/>
                <w:b/>
                <w:color w:val="222222"/>
                <w:sz w:val="26"/>
                <w:szCs w:val="26"/>
              </w:rPr>
            </w:pPr>
            <w:r>
              <w:rPr>
                <w:rFonts w:asciiTheme="majorHAnsi" w:eastAsia="Calibri" w:hAnsiTheme="majorHAnsi" w:cstheme="majorHAnsi"/>
                <w:b/>
                <w:color w:val="222222"/>
                <w:sz w:val="26"/>
                <w:szCs w:val="26"/>
              </w:rPr>
              <w:t xml:space="preserve">Grade: MPS/UPS  </w:t>
            </w:r>
          </w:p>
          <w:p>
            <w:pPr>
              <w:shd w:val="clear" w:color="auto" w:fill="FFFFFF"/>
              <w:jc w:val="center"/>
              <w:rPr>
                <w:rFonts w:asciiTheme="majorHAnsi" w:eastAsia="Calibri" w:hAnsiTheme="majorHAnsi" w:cstheme="majorHAnsi"/>
                <w:b/>
                <w:color w:val="222222"/>
                <w:sz w:val="26"/>
                <w:szCs w:val="26"/>
              </w:rPr>
            </w:pPr>
            <w:r>
              <w:rPr>
                <w:rFonts w:asciiTheme="majorHAnsi" w:eastAsia="Calibri" w:hAnsiTheme="majorHAnsi" w:cstheme="majorHAnsi"/>
                <w:b/>
                <w:color w:val="222222"/>
                <w:sz w:val="26"/>
                <w:szCs w:val="26"/>
              </w:rPr>
              <w:t>September 2024 start</w:t>
            </w:r>
          </w:p>
          <w:p>
            <w:pPr>
              <w:widowControl w:val="0"/>
              <w:pBdr>
                <w:top w:val="nil"/>
                <w:left w:val="nil"/>
                <w:bottom w:val="nil"/>
                <w:right w:val="nil"/>
                <w:between w:val="nil"/>
              </w:pBdr>
              <w:spacing w:line="240" w:lineRule="auto"/>
              <w:jc w:val="center"/>
              <w:rPr>
                <w:rFonts w:ascii="Calibri" w:eastAsia="Calibri" w:hAnsi="Calibri" w:cs="Calibri"/>
                <w:sz w:val="38"/>
                <w:szCs w:val="38"/>
                <w:highlight w:val="yellow"/>
              </w:rPr>
            </w:pPr>
          </w:p>
        </w:tc>
      </w:tr>
    </w:tbl>
    <w:p>
      <w:pPr>
        <w:spacing w:after="160" w:line="259" w:lineRule="auto"/>
        <w:rPr>
          <w:rFonts w:ascii="Calibri" w:eastAsia="Calibri" w:hAnsi="Calibri" w:cs="Calibri"/>
          <w:color w:val="444444"/>
          <w:sz w:val="24"/>
          <w:szCs w:val="24"/>
        </w:rPr>
      </w:pPr>
      <w:r>
        <w:rPr>
          <w:rFonts w:ascii="Century Gothic" w:eastAsia="Century Gothic" w:hAnsi="Century Gothic" w:cs="Century Gothic"/>
          <w:noProof/>
          <w:sz w:val="24"/>
          <w:szCs w:val="24"/>
        </w:rPr>
        <w:lastRenderedPageBreak/>
        <w:drawing>
          <wp:inline distT="0" distB="0" distL="0" distR="0">
            <wp:extent cx="1138238" cy="9007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38238" cy="900763"/>
                    </a:xfrm>
                    <a:prstGeom prst="rect">
                      <a:avLst/>
                    </a:prstGeom>
                    <a:ln/>
                  </pic:spPr>
                </pic:pic>
              </a:graphicData>
            </a:graphic>
          </wp:inline>
        </w:drawing>
      </w:r>
      <w:r>
        <w:rPr>
          <w:rFonts w:ascii="Century Gothic" w:eastAsia="Century Gothic" w:hAnsi="Century Gothic" w:cs="Century Gothic"/>
          <w:sz w:val="24"/>
          <w:szCs w:val="24"/>
        </w:rPr>
        <w:t xml:space="preserve">                                                                          </w:t>
      </w:r>
      <w:r>
        <w:rPr>
          <w:rFonts w:ascii="Century Gothic" w:eastAsia="Century Gothic" w:hAnsi="Century Gothic" w:cs="Century Gothic"/>
          <w:noProof/>
          <w:sz w:val="24"/>
          <w:szCs w:val="24"/>
        </w:rPr>
        <w:drawing>
          <wp:inline distT="114300" distB="114300" distL="114300" distR="114300">
            <wp:extent cx="1200150" cy="119062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r="-14609" b="-14609"/>
                    <a:stretch>
                      <a:fillRect/>
                    </a:stretch>
                  </pic:blipFill>
                  <pic:spPr>
                    <a:xfrm>
                      <a:off x="0" y="0"/>
                      <a:ext cx="1200502" cy="1190974"/>
                    </a:xfrm>
                    <a:prstGeom prst="rect">
                      <a:avLst/>
                    </a:prstGeom>
                    <a:ln/>
                  </pic:spPr>
                </pic:pic>
              </a:graphicData>
            </a:graphic>
          </wp:inline>
        </w:drawing>
      </w:r>
    </w:p>
    <w:p>
      <w:pPr>
        <w:jc w:val="both"/>
        <w:rPr>
          <w:rFonts w:asciiTheme="majorHAnsi" w:eastAsia="Calibri" w:hAnsiTheme="majorHAnsi" w:cstheme="majorHAnsi"/>
          <w:color w:val="444444"/>
        </w:rPr>
      </w:pPr>
      <w:r>
        <w:rPr>
          <w:rFonts w:asciiTheme="majorHAnsi" w:eastAsia="Calibri" w:hAnsiTheme="majorHAnsi" w:cstheme="majorHAnsi"/>
          <w:color w:val="444444"/>
        </w:rPr>
        <w:t>Dear Applicant,</w:t>
      </w:r>
    </w:p>
    <w:p>
      <w:pPr>
        <w:jc w:val="both"/>
        <w:rPr>
          <w:rFonts w:asciiTheme="majorHAnsi" w:eastAsia="Calibri" w:hAnsiTheme="majorHAnsi" w:cstheme="majorHAnsi"/>
          <w:color w:val="444444"/>
        </w:rPr>
      </w:pPr>
    </w:p>
    <w:p>
      <w:pPr>
        <w:jc w:val="both"/>
        <w:rPr>
          <w:rFonts w:asciiTheme="majorHAnsi" w:eastAsia="Calibri" w:hAnsiTheme="majorHAnsi" w:cstheme="majorHAnsi"/>
          <w:color w:val="444444"/>
        </w:rPr>
      </w:pPr>
      <w:r>
        <w:rPr>
          <w:rFonts w:asciiTheme="majorHAnsi" w:eastAsia="Calibri" w:hAnsiTheme="majorHAnsi" w:cstheme="majorHAnsi"/>
          <w:color w:val="444444"/>
        </w:rPr>
        <w:t xml:space="preserve">Thank you for your interest in this exciting opportunity to join Gwyn Jones Primary School as a member of team in the role of upper key stage two class teacher with the responsibly for leading on Rights Respecting Schools. We are looking to appoint an outstanding class teacher for a September 24 start. </w:t>
      </w:r>
    </w:p>
    <w:p>
      <w:pPr>
        <w:jc w:val="both"/>
        <w:rPr>
          <w:rFonts w:asciiTheme="majorHAnsi" w:eastAsia="Calibri" w:hAnsiTheme="majorHAnsi" w:cstheme="majorHAnsi"/>
          <w:color w:val="444444"/>
        </w:rPr>
      </w:pPr>
    </w:p>
    <w:p>
      <w:pPr>
        <w:jc w:val="both"/>
        <w:rPr>
          <w:rFonts w:asciiTheme="majorHAnsi" w:eastAsia="Calibri" w:hAnsiTheme="majorHAnsi" w:cstheme="majorHAnsi"/>
          <w:color w:val="444444"/>
        </w:rPr>
      </w:pPr>
      <w:r>
        <w:rPr>
          <w:rFonts w:asciiTheme="majorHAnsi" w:eastAsia="Calibri" w:hAnsiTheme="majorHAnsi" w:cstheme="majorHAnsi"/>
          <w:color w:val="444444"/>
        </w:rPr>
        <w:t xml:space="preserve">We are a two-form entry, culturally diverse school based in East London and we are very proud of our school.  Visitors comment on the warmth of the school and the friendliness of both staff and pupils alike.  Our dedicated staff team are incredibly hard working and are committed to creating a happy, secure and stimulating environment in which every child can achieve their potential and develop a life-long love of learning. </w:t>
      </w:r>
    </w:p>
    <w:p>
      <w:pPr>
        <w:jc w:val="both"/>
        <w:rPr>
          <w:rFonts w:asciiTheme="majorHAnsi" w:eastAsia="Calibri" w:hAnsiTheme="majorHAnsi" w:cstheme="majorHAnsi"/>
          <w:color w:val="444444"/>
        </w:rPr>
      </w:pPr>
    </w:p>
    <w:p>
      <w:pPr>
        <w:jc w:val="both"/>
        <w:rPr>
          <w:rFonts w:asciiTheme="majorHAnsi" w:eastAsia="Calibri" w:hAnsiTheme="majorHAnsi" w:cstheme="majorHAnsi"/>
          <w:color w:val="444444"/>
        </w:rPr>
      </w:pPr>
      <w:r>
        <w:rPr>
          <w:rFonts w:asciiTheme="majorHAnsi" w:eastAsia="Calibri" w:hAnsiTheme="majorHAnsi" w:cstheme="majorHAnsi"/>
          <w:color w:val="444444"/>
        </w:rPr>
        <w:t xml:space="preserve">At Gwyn Jones Primary School we are a Rights Respecting School and we actively teach our children about the rights of the child. The Rights Respecting ethos permeates all parts of school life and into our school motto “Inspired and Empowered”.  This motto </w:t>
      </w:r>
      <w:proofErr w:type="spellStart"/>
      <w:r>
        <w:rPr>
          <w:rFonts w:asciiTheme="majorHAnsi" w:eastAsia="Calibri" w:hAnsiTheme="majorHAnsi" w:cstheme="majorHAnsi"/>
          <w:color w:val="444444"/>
        </w:rPr>
        <w:t>epitomises</w:t>
      </w:r>
      <w:proofErr w:type="spellEnd"/>
      <w:r>
        <w:rPr>
          <w:rFonts w:asciiTheme="majorHAnsi" w:eastAsia="Calibri" w:hAnsiTheme="majorHAnsi" w:cstheme="majorHAnsi"/>
          <w:color w:val="444444"/>
        </w:rPr>
        <w:t xml:space="preserve"> the staff’s genuine commitment to </w:t>
      </w:r>
      <w:r>
        <w:rPr>
          <w:rFonts w:asciiTheme="majorHAnsi" w:eastAsia="Calibri" w:hAnsiTheme="majorHAnsi" w:cstheme="majorHAnsi"/>
          <w:color w:val="444444"/>
          <w:highlight w:val="white"/>
        </w:rPr>
        <w:t>provide a rich, creative and challenging curriculum which inspires children’s curiosity and empowers our pupils to have a voice and be knowledgeable, active global citizens.</w:t>
      </w:r>
      <w:r>
        <w:rPr>
          <w:rFonts w:asciiTheme="majorHAnsi" w:eastAsia="Calibri" w:hAnsiTheme="majorHAnsi" w:cstheme="majorHAnsi"/>
          <w:color w:val="444444"/>
        </w:rPr>
        <w:t xml:space="preserve">  We strive to ensure that every child thrives academically whilst benefiting from excellent pastoral care that nurtures and develops emotional wellbeing.</w:t>
      </w:r>
    </w:p>
    <w:p>
      <w:pPr>
        <w:jc w:val="both"/>
        <w:rPr>
          <w:rFonts w:asciiTheme="majorHAnsi" w:eastAsia="Calibri" w:hAnsiTheme="majorHAnsi" w:cstheme="majorHAnsi"/>
          <w:color w:val="444444"/>
        </w:rPr>
      </w:pPr>
    </w:p>
    <w:p>
      <w:pPr>
        <w:jc w:val="both"/>
        <w:rPr>
          <w:rFonts w:asciiTheme="majorHAnsi" w:eastAsia="Calibri" w:hAnsiTheme="majorHAnsi" w:cstheme="majorHAnsi"/>
          <w:color w:val="444444"/>
        </w:rPr>
      </w:pPr>
      <w:r>
        <w:rPr>
          <w:rFonts w:asciiTheme="majorHAnsi" w:eastAsia="Calibri" w:hAnsiTheme="majorHAnsi" w:cstheme="majorHAnsi"/>
          <w:color w:val="444444"/>
        </w:rPr>
        <w:t>We are looking for someone who has good communication skills and is flexible in their approach when supporting children and working alongside other colleagues. We know it is important to be positive, inspirational and a real team player. To add to our team, we wish to appoint an excellent class teacher who will draw upon their experience and expertise in teaching to raise standards. Together, we will drive outstanding learning and teaching that is challenging, interesting and motivational to all pupils building inquiring lifelong learners who care for their world and all that live in it.</w:t>
      </w:r>
    </w:p>
    <w:p>
      <w:pPr>
        <w:jc w:val="both"/>
        <w:rPr>
          <w:rFonts w:asciiTheme="majorHAnsi" w:eastAsia="Calibri" w:hAnsiTheme="majorHAnsi" w:cstheme="majorHAnsi"/>
          <w:color w:val="444444"/>
        </w:rPr>
      </w:pPr>
    </w:p>
    <w:p>
      <w:pPr>
        <w:jc w:val="both"/>
        <w:rPr>
          <w:rFonts w:asciiTheme="majorHAnsi" w:eastAsia="Calibri" w:hAnsiTheme="majorHAnsi" w:cstheme="majorHAnsi"/>
          <w:color w:val="444444"/>
        </w:rPr>
      </w:pPr>
      <w:r>
        <w:rPr>
          <w:rFonts w:asciiTheme="majorHAnsi" w:eastAsia="Calibri" w:hAnsiTheme="majorHAnsi" w:cstheme="majorHAnsi"/>
          <w:color w:val="444444"/>
        </w:rPr>
        <w:t xml:space="preserve">I hope this application pack and the information available generally on our website and on social media will give you a </w:t>
      </w:r>
      <w:proofErr w:type="spellStart"/>
      <w:r>
        <w:rPr>
          <w:rFonts w:asciiTheme="majorHAnsi" w:eastAsia="Calibri" w:hAnsiTheme="majorHAnsi" w:cstheme="majorHAnsi"/>
          <w:color w:val="444444"/>
        </w:rPr>
        <w:t>flavour</w:t>
      </w:r>
      <w:proofErr w:type="spellEnd"/>
      <w:r>
        <w:rPr>
          <w:rFonts w:asciiTheme="majorHAnsi" w:eastAsia="Calibri" w:hAnsiTheme="majorHAnsi" w:cstheme="majorHAnsi"/>
          <w:color w:val="444444"/>
        </w:rPr>
        <w:t xml:space="preserve"> of our School. I would be delighted to show you around our friendly and caring school.  To arrange a visit please contact the school office on 02085567904 or email: </w:t>
      </w:r>
      <w:hyperlink r:id="rId10">
        <w:r>
          <w:rPr>
            <w:rFonts w:asciiTheme="majorHAnsi" w:eastAsia="Calibri" w:hAnsiTheme="majorHAnsi" w:cstheme="majorHAnsi"/>
            <w:color w:val="1155CC"/>
            <w:u w:val="single"/>
          </w:rPr>
          <w:t>HR@gwynjones.waltham.sch.uk</w:t>
        </w:r>
      </w:hyperlink>
      <w:r>
        <w:rPr>
          <w:rFonts w:asciiTheme="majorHAnsi" w:eastAsia="Calibri" w:hAnsiTheme="majorHAnsi" w:cstheme="majorHAnsi"/>
        </w:rPr>
        <w:t xml:space="preserve"> </w:t>
      </w:r>
    </w:p>
    <w:p>
      <w:pPr>
        <w:jc w:val="both"/>
        <w:rPr>
          <w:rFonts w:asciiTheme="majorHAnsi" w:eastAsia="Calibri" w:hAnsiTheme="majorHAnsi" w:cstheme="majorHAnsi"/>
          <w:color w:val="444444"/>
        </w:rPr>
      </w:pPr>
    </w:p>
    <w:p>
      <w:pPr>
        <w:jc w:val="both"/>
        <w:rPr>
          <w:rFonts w:asciiTheme="majorHAnsi" w:eastAsia="Calibri" w:hAnsiTheme="majorHAnsi" w:cstheme="majorHAnsi"/>
          <w:color w:val="444444"/>
        </w:rPr>
      </w:pPr>
      <w:r>
        <w:rPr>
          <w:rFonts w:asciiTheme="majorHAnsi" w:eastAsia="Calibri" w:hAnsiTheme="majorHAnsi" w:cstheme="majorHAnsi"/>
          <w:color w:val="444444"/>
        </w:rPr>
        <w:t>I look forward to meeting with you</w:t>
      </w:r>
    </w:p>
    <w:p>
      <w:pPr>
        <w:jc w:val="both"/>
        <w:rPr>
          <w:rFonts w:asciiTheme="majorHAnsi" w:eastAsia="Calibri" w:hAnsiTheme="majorHAnsi" w:cstheme="majorHAnsi"/>
          <w:b/>
          <w:color w:val="444444"/>
        </w:rPr>
      </w:pPr>
      <w:r>
        <w:rPr>
          <w:rFonts w:asciiTheme="majorHAnsi" w:eastAsia="Calibri" w:hAnsiTheme="majorHAnsi" w:cstheme="majorHAnsi"/>
          <w:b/>
          <w:color w:val="444444"/>
        </w:rPr>
        <w:t>Sian Boutalbi</w:t>
      </w:r>
      <w:bookmarkStart w:id="1" w:name="_Hlk105480754"/>
    </w:p>
    <w:p>
      <w:pPr>
        <w:jc w:val="both"/>
        <w:rPr>
          <w:rFonts w:asciiTheme="majorHAnsi" w:eastAsia="Calibri" w:hAnsiTheme="majorHAnsi" w:cstheme="majorHAnsi"/>
          <w:b/>
          <w:color w:val="444444"/>
        </w:rPr>
      </w:pPr>
      <w:r>
        <w:rPr>
          <w:rFonts w:asciiTheme="majorHAnsi" w:eastAsia="Calibri" w:hAnsiTheme="majorHAnsi" w:cstheme="majorHAnsi"/>
          <w:b/>
          <w:color w:val="444444"/>
        </w:rPr>
        <w:t>Headteacher</w:t>
      </w:r>
    </w:p>
    <w:bookmarkEnd w:id="0"/>
    <w:p>
      <w:pPr>
        <w:spacing w:after="160" w:line="259" w:lineRule="auto"/>
        <w:jc w:val="both"/>
        <w:rPr>
          <w:rFonts w:asciiTheme="majorHAnsi" w:eastAsia="Calibri" w:hAnsiTheme="majorHAnsi" w:cstheme="majorHAnsi"/>
        </w:rPr>
      </w:pPr>
      <w:r>
        <w:rPr>
          <w:rFonts w:asciiTheme="majorHAnsi" w:eastAsia="Century Gothic" w:hAnsiTheme="majorHAnsi" w:cstheme="majorHAnsi"/>
          <w:noProof/>
        </w:rPr>
        <w:lastRenderedPageBreak/>
        <w:drawing>
          <wp:inline distT="0" distB="0" distL="0" distR="0">
            <wp:extent cx="981075" cy="766763"/>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81075" cy="766763"/>
                    </a:xfrm>
                    <a:prstGeom prst="rect">
                      <a:avLst/>
                    </a:prstGeom>
                    <a:ln/>
                  </pic:spPr>
                </pic:pic>
              </a:graphicData>
            </a:graphic>
          </wp:inline>
        </w:drawing>
      </w:r>
      <w:r>
        <w:rPr>
          <w:rFonts w:asciiTheme="majorHAnsi" w:eastAsia="Century Gothic" w:hAnsiTheme="majorHAnsi" w:cstheme="majorHAnsi"/>
        </w:rPr>
        <w:t xml:space="preserve">                                                                                                                </w:t>
      </w:r>
      <w:r>
        <w:rPr>
          <w:rFonts w:asciiTheme="majorHAnsi" w:eastAsia="Century Gothic" w:hAnsiTheme="majorHAnsi" w:cstheme="majorHAnsi"/>
          <w:noProof/>
        </w:rPr>
        <w:drawing>
          <wp:inline distT="114300" distB="114300" distL="114300" distR="114300">
            <wp:extent cx="824865" cy="1143000"/>
            <wp:effectExtent l="95250" t="38100" r="32385" b="9525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825132" cy="1143370"/>
                    </a:xfrm>
                    <a:prstGeom prst="rect">
                      <a:avLst/>
                    </a:prstGeom>
                    <a:ln/>
                    <a:effectLst>
                      <a:outerShdw blurRad="50800" dist="38100" dir="8100000" algn="tr" rotWithShape="0">
                        <a:prstClr val="black">
                          <a:alpha val="40000"/>
                        </a:prstClr>
                      </a:outerShdw>
                    </a:effectLst>
                  </pic:spPr>
                </pic:pic>
              </a:graphicData>
            </a:graphic>
          </wp:inline>
        </w:drawing>
      </w:r>
    </w:p>
    <w:p>
      <w:pPr>
        <w:spacing w:after="160" w:line="259" w:lineRule="auto"/>
        <w:jc w:val="both"/>
        <w:rPr>
          <w:rFonts w:asciiTheme="majorHAnsi" w:eastAsia="Calibri" w:hAnsiTheme="majorHAnsi" w:cstheme="majorHAnsi"/>
        </w:rPr>
      </w:pPr>
    </w:p>
    <w:p>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Dear Applicant, </w:t>
      </w:r>
    </w:p>
    <w:p>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Thank you for your interest in the position of class teacher at Gwyn Jones Primary School. </w:t>
      </w:r>
    </w:p>
    <w:p>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Gwyn Jones is a successful and very popular school within the local area. We are fortunate in having an engaged and culturally diverse community, a hardworking and talented staff team and amazing pupils. </w:t>
      </w:r>
    </w:p>
    <w:p>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As Governors, we work alongside the Head and her dedicated team in our common belief in the fundamental importance of Primary Education as the foundation for developing a lifelong love of learning in our children. Our Governing Board is keen to develop its skills and knowledge of the school and its community and supports the drive within school for continuous improvement within a nurturing and supportive environment. </w:t>
      </w:r>
    </w:p>
    <w:p>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Our curriculum is rich, diverse and challenging and aims to provide a range of exciting and meaningful experiences which foster confidence and provide aspirations. Staff plan for children to be academically challenged, creatively inspired and supported in their personal development. </w:t>
      </w:r>
    </w:p>
    <w:p>
      <w:pPr>
        <w:spacing w:after="160" w:line="259" w:lineRule="auto"/>
        <w:jc w:val="both"/>
        <w:rPr>
          <w:rFonts w:asciiTheme="majorHAnsi" w:eastAsia="Calibri" w:hAnsiTheme="majorHAnsi" w:cstheme="majorHAnsi"/>
        </w:rPr>
      </w:pPr>
      <w:r>
        <w:rPr>
          <w:rFonts w:asciiTheme="majorHAnsi" w:eastAsia="Calibri" w:hAnsiTheme="majorHAnsi" w:cstheme="majorHAnsi"/>
        </w:rPr>
        <w:t>Gwyn Jones maintains strong links with other local schools within Waltham Forest. As a member of our staff team you would receive ongoing support and development in your role.</w:t>
      </w:r>
    </w:p>
    <w:p>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If the thought of this role in our school excites you, we look forward to receiving your application. </w:t>
      </w:r>
    </w:p>
    <w:p>
      <w:pPr>
        <w:spacing w:after="160" w:line="259" w:lineRule="auto"/>
        <w:jc w:val="both"/>
        <w:rPr>
          <w:rFonts w:asciiTheme="majorHAnsi" w:eastAsia="Calibri" w:hAnsiTheme="majorHAnsi" w:cstheme="majorHAnsi"/>
          <w:b/>
        </w:rPr>
      </w:pPr>
      <w:r>
        <w:rPr>
          <w:rFonts w:asciiTheme="majorHAnsi" w:eastAsia="Calibri" w:hAnsiTheme="majorHAnsi" w:cstheme="majorHAnsi"/>
          <w:b/>
        </w:rPr>
        <w:t>Liz Jackson</w:t>
      </w:r>
    </w:p>
    <w:p>
      <w:pPr>
        <w:spacing w:after="160" w:line="259" w:lineRule="auto"/>
        <w:jc w:val="both"/>
        <w:rPr>
          <w:rFonts w:asciiTheme="majorHAnsi" w:eastAsia="Calibri" w:hAnsiTheme="majorHAnsi" w:cstheme="majorHAnsi"/>
          <w:b/>
        </w:rPr>
      </w:pPr>
      <w:r>
        <w:rPr>
          <w:rFonts w:asciiTheme="majorHAnsi" w:eastAsia="Calibri" w:hAnsiTheme="majorHAnsi" w:cstheme="majorHAnsi"/>
          <w:b/>
        </w:rPr>
        <w:t>Chair of Governors</w:t>
      </w:r>
    </w:p>
    <w:p>
      <w:pPr>
        <w:spacing w:after="160" w:line="259" w:lineRule="auto"/>
        <w:rPr>
          <w:rFonts w:ascii="Calibri" w:eastAsia="Calibri" w:hAnsi="Calibri" w:cs="Calibri"/>
          <w:sz w:val="24"/>
          <w:szCs w:val="24"/>
        </w:rPr>
      </w:pPr>
    </w:p>
    <w:p>
      <w:pPr>
        <w:spacing w:after="160" w:line="259" w:lineRule="auto"/>
        <w:jc w:val="center"/>
        <w:rPr>
          <w:rFonts w:ascii="Century Gothic" w:eastAsia="Century Gothic" w:hAnsi="Century Gothic" w:cs="Century Gothic"/>
          <w:sz w:val="24"/>
          <w:szCs w:val="24"/>
        </w:rPr>
      </w:pPr>
    </w:p>
    <w:p>
      <w:pPr>
        <w:spacing w:after="160" w:line="259" w:lineRule="auto"/>
        <w:jc w:val="center"/>
        <w:rPr>
          <w:rFonts w:ascii="Century Gothic" w:eastAsia="Century Gothic" w:hAnsi="Century Gothic" w:cs="Century Gothic"/>
          <w:sz w:val="24"/>
          <w:szCs w:val="24"/>
        </w:rPr>
      </w:pPr>
    </w:p>
    <w:p>
      <w:pPr>
        <w:spacing w:after="160" w:line="259" w:lineRule="auto"/>
        <w:jc w:val="center"/>
        <w:rPr>
          <w:rFonts w:ascii="Century Gothic" w:eastAsia="Century Gothic" w:hAnsi="Century Gothic" w:cs="Century Gothic"/>
          <w:sz w:val="24"/>
          <w:szCs w:val="24"/>
        </w:rPr>
      </w:pPr>
    </w:p>
    <w:p>
      <w:pPr>
        <w:rPr>
          <w:rFonts w:ascii="Century Gothic" w:eastAsia="Century Gothic" w:hAnsi="Century Gothic" w:cs="Century Gothic"/>
          <w:sz w:val="24"/>
          <w:szCs w:val="24"/>
        </w:rPr>
      </w:pPr>
    </w:p>
    <w:p>
      <w:pPr>
        <w:rPr>
          <w:rFonts w:ascii="Century Gothic" w:eastAsia="Century Gothic" w:hAnsi="Century Gothic" w:cs="Century Gothic"/>
          <w:sz w:val="24"/>
          <w:szCs w:val="24"/>
        </w:rPr>
      </w:pPr>
    </w:p>
    <w:p>
      <w:pPr>
        <w:rPr>
          <w:rFonts w:ascii="Century Gothic" w:eastAsia="Century Gothic" w:hAnsi="Century Gothic" w:cs="Century Gothic"/>
          <w:sz w:val="24"/>
          <w:szCs w:val="24"/>
        </w:rPr>
      </w:pPr>
    </w:p>
    <w:p>
      <w:pPr>
        <w:jc w:val="center"/>
        <w:rPr>
          <w:rFonts w:ascii="Calibri" w:eastAsia="Calibri" w:hAnsi="Calibri" w:cs="Calibri"/>
          <w:sz w:val="24"/>
          <w:szCs w:val="24"/>
        </w:rPr>
      </w:pPr>
    </w:p>
    <w:p>
      <w:pPr>
        <w:jc w:val="center"/>
        <w:rPr>
          <w:rFonts w:ascii="Calibri" w:eastAsia="Calibri" w:hAnsi="Calibri" w:cs="Calibri"/>
          <w:sz w:val="24"/>
          <w:szCs w:val="24"/>
        </w:rPr>
      </w:pPr>
    </w:p>
    <w:p>
      <w:pPr>
        <w:rPr>
          <w:rFonts w:ascii="Calibri" w:eastAsia="Calibri" w:hAnsi="Calibri" w:cs="Calibri"/>
          <w:sz w:val="24"/>
          <w:szCs w:val="24"/>
        </w:rPr>
      </w:pPr>
    </w:p>
    <w:p>
      <w:pPr>
        <w:rPr>
          <w:rFonts w:ascii="Calibri" w:eastAsia="Calibri" w:hAnsi="Calibri" w:cs="Calibri"/>
          <w:b/>
          <w:sz w:val="28"/>
          <w:szCs w:val="28"/>
        </w:rPr>
      </w:pPr>
      <w:r>
        <w:rPr>
          <w:rFonts w:ascii="Calibri" w:eastAsia="Calibri" w:hAnsi="Calibri" w:cs="Calibri"/>
          <w:b/>
          <w:sz w:val="28"/>
          <w:szCs w:val="28"/>
        </w:rPr>
        <w:lastRenderedPageBreak/>
        <w:t>Vision and Values</w:t>
      </w:r>
    </w:p>
    <w:p>
      <w:pPr>
        <w:rPr>
          <w:rFonts w:ascii="Calibri" w:eastAsia="Calibri" w:hAnsi="Calibri" w:cs="Calibri"/>
          <w:b/>
          <w:sz w:val="28"/>
          <w:szCs w:val="28"/>
          <w:u w:val="single"/>
        </w:rPr>
      </w:pPr>
    </w:p>
    <w:p>
      <w:pPr>
        <w:shd w:val="clear" w:color="auto" w:fill="FFFFFF"/>
        <w:spacing w:before="240" w:after="240"/>
        <w:jc w:val="center"/>
        <w:rPr>
          <w:rFonts w:asciiTheme="majorHAnsi" w:eastAsia="Calibri" w:hAnsiTheme="majorHAnsi" w:cstheme="majorHAnsi"/>
          <w:b/>
          <w:color w:val="222222"/>
          <w:sz w:val="26"/>
          <w:szCs w:val="26"/>
        </w:rPr>
      </w:pPr>
      <w:r>
        <w:rPr>
          <w:rFonts w:asciiTheme="majorHAnsi" w:eastAsia="Calibri" w:hAnsiTheme="majorHAnsi" w:cstheme="majorHAnsi"/>
          <w:noProof/>
          <w:color w:val="222222"/>
          <w:sz w:val="26"/>
          <w:szCs w:val="26"/>
        </w:rPr>
        <w:drawing>
          <wp:inline distT="114300" distB="114300" distL="114300" distR="114300">
            <wp:extent cx="4143375" cy="542925"/>
            <wp:effectExtent l="0" t="0" r="9525" b="9525"/>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39491" cy="568623"/>
                    </a:xfrm>
                    <a:prstGeom prst="rect">
                      <a:avLst/>
                    </a:prstGeom>
                    <a:ln/>
                  </pic:spPr>
                </pic:pic>
              </a:graphicData>
            </a:graphic>
          </wp:inline>
        </w:drawing>
      </w:r>
    </w:p>
    <w:p>
      <w:pPr>
        <w:jc w:val="center"/>
      </w:pPr>
    </w:p>
    <w:p>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 xml:space="preserve">At Gwyn Jones, we are committed to ensuring that every member of our school community is </w:t>
      </w:r>
      <w:r>
        <w:rPr>
          <w:rFonts w:ascii="Calibri" w:eastAsia="Calibri" w:hAnsi="Calibri" w:cs="Calibri"/>
          <w:b/>
          <w:color w:val="444444"/>
          <w:sz w:val="24"/>
          <w:szCs w:val="24"/>
        </w:rPr>
        <w:t>inspired and empowered</w:t>
      </w:r>
      <w:r>
        <w:rPr>
          <w:rFonts w:ascii="Calibri" w:eastAsia="Calibri" w:hAnsi="Calibri" w:cs="Calibri"/>
          <w:color w:val="444444"/>
          <w:sz w:val="24"/>
          <w:szCs w:val="24"/>
        </w:rPr>
        <w:t xml:space="preserve"> each day.</w:t>
      </w:r>
    </w:p>
    <w:p>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We aim to inspire and empower our children by:</w:t>
      </w:r>
    </w:p>
    <w:p>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Providing excellent teaching which nurtures our children’s innate curiosity, allowing them opportunities to take risks and to think for themselves.</w:t>
      </w:r>
    </w:p>
    <w:p>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Supporting our children to have responsibility for their own learning; to have their own opinions and the skills to articulate them.</w:t>
      </w:r>
    </w:p>
    <w:p>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Allowing all children access to a rich and broad curriculum which fully prepares them to be active, global citizens.</w:t>
      </w:r>
    </w:p>
    <w:p>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Ensuring all children participate in a variety of trips and visitors in their local and wider community.</w:t>
      </w:r>
    </w:p>
    <w:p>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Acting as role models who respect others and enjoy the rich diversity of our school family.</w:t>
      </w:r>
    </w:p>
    <w:p>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Insisting that every child is known well, safe and nurtured to achieve their personal best.</w:t>
      </w:r>
    </w:p>
    <w:p>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We aim to inspire and empower our staff by:</w:t>
      </w:r>
    </w:p>
    <w:p>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Providing a wide range of relevant and innovative professional learning in school which focuses on collaboration and sharing good practice, including lesson study, planning support, team teacher and action research.</w:t>
      </w:r>
    </w:p>
    <w:p>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Forging strong links with external agencies to deliver professional development - teaching schools, higher education institutes etc.</w:t>
      </w:r>
    </w:p>
    <w:p>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Giving developmental feedback with clear and specific actions for staff and leaders.</w:t>
      </w:r>
    </w:p>
    <w:p>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Establishing coaching and mentoring relationships which encourage reflection.</w:t>
      </w:r>
    </w:p>
    <w:p>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Identifying and nurturing leadership talent.</w:t>
      </w:r>
    </w:p>
    <w:p>
      <w:pPr>
        <w:rPr>
          <w:rFonts w:ascii="Calibri" w:eastAsia="Calibri" w:hAnsi="Calibri" w:cs="Calibri"/>
          <w:sz w:val="24"/>
          <w:szCs w:val="24"/>
        </w:rPr>
      </w:pPr>
    </w:p>
    <w:p>
      <w:pPr>
        <w:rPr>
          <w:rFonts w:ascii="Calibri" w:eastAsia="Calibri" w:hAnsi="Calibri" w:cs="Calibri"/>
          <w:sz w:val="24"/>
          <w:szCs w:val="24"/>
        </w:rPr>
      </w:pPr>
    </w:p>
    <w:p>
      <w:pPr>
        <w:rPr>
          <w:rFonts w:ascii="Calibri" w:eastAsia="Calibri" w:hAnsi="Calibri" w:cs="Calibri"/>
          <w:sz w:val="24"/>
          <w:szCs w:val="24"/>
        </w:rPr>
      </w:pPr>
    </w:p>
    <w:p>
      <w:pPr>
        <w:rPr>
          <w:rFonts w:ascii="Calibri" w:eastAsia="Calibri" w:hAnsi="Calibri" w:cs="Calibri"/>
        </w:rPr>
      </w:pPr>
      <w:r>
        <w:rPr>
          <w:rFonts w:ascii="Calibri" w:eastAsia="Calibri" w:hAnsi="Calibri" w:cs="Calibri"/>
          <w:b/>
          <w:sz w:val="30"/>
          <w:szCs w:val="30"/>
        </w:rPr>
        <w:lastRenderedPageBreak/>
        <w:t xml:space="preserve">Rights Respecting School  </w:t>
      </w:r>
      <w:r>
        <w:rPr>
          <w:rFonts w:ascii="Calibri" w:eastAsia="Calibri" w:hAnsi="Calibri" w:cs="Calibri"/>
          <w:sz w:val="30"/>
          <w:szCs w:val="30"/>
        </w:rPr>
        <w:t xml:space="preserve">   </w:t>
      </w:r>
      <w:r>
        <w:rPr>
          <w:rFonts w:ascii="Calibri" w:eastAsia="Calibri" w:hAnsi="Calibri" w:cs="Calibri"/>
          <w:sz w:val="24"/>
          <w:szCs w:val="24"/>
        </w:rPr>
        <w:t xml:space="preserve">                                                                        </w:t>
      </w:r>
      <w:r>
        <w:rPr>
          <w:rFonts w:ascii="Calibri" w:eastAsia="Calibri" w:hAnsi="Calibri" w:cs="Calibri"/>
          <w:noProof/>
        </w:rPr>
        <w:drawing>
          <wp:inline distT="114300" distB="114300" distL="114300" distR="114300">
            <wp:extent cx="1195388" cy="107356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195388" cy="1073565"/>
                    </a:xfrm>
                    <a:prstGeom prst="rect">
                      <a:avLst/>
                    </a:prstGeom>
                    <a:ln/>
                  </pic:spPr>
                </pic:pic>
              </a:graphicData>
            </a:graphic>
          </wp:inline>
        </w:drawing>
      </w:r>
    </w:p>
    <w:p>
      <w:pPr>
        <w:rPr>
          <w:rFonts w:ascii="Calibri" w:eastAsia="Calibri" w:hAnsi="Calibri" w:cs="Calibri"/>
        </w:rPr>
      </w:pPr>
    </w:p>
    <w:p>
      <w:pPr>
        <w:rPr>
          <w:rFonts w:ascii="Calibri" w:eastAsia="Calibri" w:hAnsi="Calibri" w:cs="Calibri"/>
        </w:rPr>
      </w:pPr>
    </w:p>
    <w:p>
      <w:pPr>
        <w:pStyle w:val="Heading3"/>
        <w:keepNext w:val="0"/>
        <w:keepLines w:val="0"/>
        <w:shd w:val="clear" w:color="auto" w:fill="FFFFFF"/>
        <w:spacing w:before="0" w:after="0" w:line="295" w:lineRule="auto"/>
        <w:rPr>
          <w:rFonts w:ascii="Calibri" w:eastAsia="Calibri" w:hAnsi="Calibri" w:cs="Calibri"/>
          <w:b/>
          <w:color w:val="000000"/>
          <w:sz w:val="24"/>
          <w:szCs w:val="24"/>
        </w:rPr>
      </w:pPr>
      <w:bookmarkStart w:id="2" w:name="_l42hu377l83w" w:colFirst="0" w:colLast="0"/>
      <w:bookmarkEnd w:id="2"/>
      <w:r>
        <w:rPr>
          <w:rFonts w:ascii="Calibri" w:eastAsia="Calibri" w:hAnsi="Calibri" w:cs="Calibri"/>
          <w:b/>
          <w:color w:val="000000"/>
          <w:sz w:val="24"/>
          <w:szCs w:val="24"/>
        </w:rPr>
        <w:t>What is UNICEF's Rights Respecting Schools?</w:t>
      </w:r>
    </w:p>
    <w:p>
      <w:pPr>
        <w:jc w:val="center"/>
        <w:rPr>
          <w:b/>
          <w:sz w:val="39"/>
          <w:szCs w:val="39"/>
        </w:rPr>
      </w:pPr>
      <w:r>
        <w:rPr>
          <w:b/>
          <w:noProof/>
          <w:sz w:val="39"/>
          <w:szCs w:val="39"/>
        </w:rPr>
        <w:drawing>
          <wp:inline distT="114300" distB="114300" distL="114300" distR="114300">
            <wp:extent cx="4595813" cy="3446859"/>
            <wp:effectExtent l="0" t="0" r="0" b="0"/>
            <wp:docPr id="9" name="image5.jpg" descr="IMG_8771"/>
            <wp:cNvGraphicFramePr/>
            <a:graphic xmlns:a="http://schemas.openxmlformats.org/drawingml/2006/main">
              <a:graphicData uri="http://schemas.openxmlformats.org/drawingml/2006/picture">
                <pic:pic xmlns:pic="http://schemas.openxmlformats.org/drawingml/2006/picture">
                  <pic:nvPicPr>
                    <pic:cNvPr id="0" name="image5.jpg" descr="IMG_8771"/>
                    <pic:cNvPicPr preferRelativeResize="0"/>
                  </pic:nvPicPr>
                  <pic:blipFill>
                    <a:blip r:embed="rId13"/>
                    <a:srcRect/>
                    <a:stretch>
                      <a:fillRect/>
                    </a:stretch>
                  </pic:blipFill>
                  <pic:spPr>
                    <a:xfrm>
                      <a:off x="0" y="0"/>
                      <a:ext cx="4595813" cy="3446859"/>
                    </a:xfrm>
                    <a:prstGeom prst="rect">
                      <a:avLst/>
                    </a:prstGeom>
                    <a:ln/>
                  </pic:spPr>
                </pic:pic>
              </a:graphicData>
            </a:graphic>
          </wp:inline>
        </w:drawing>
      </w:r>
    </w:p>
    <w:p>
      <w:pPr>
        <w:shd w:val="clear" w:color="auto" w:fill="FFFFFF"/>
        <w:spacing w:after="220"/>
        <w:rPr>
          <w:rFonts w:ascii="Calibri" w:eastAsia="Calibri" w:hAnsi="Calibri" w:cs="Calibri"/>
          <w:color w:val="444444"/>
          <w:sz w:val="24"/>
          <w:szCs w:val="24"/>
        </w:rPr>
      </w:pPr>
    </w:p>
    <w:p>
      <w:pPr>
        <w:shd w:val="clear" w:color="auto" w:fill="FFFFFF"/>
        <w:spacing w:after="220"/>
        <w:rPr>
          <w:rFonts w:ascii="Calibri" w:eastAsia="Calibri" w:hAnsi="Calibri" w:cs="Calibri"/>
          <w:color w:val="444444"/>
          <w:sz w:val="24"/>
          <w:szCs w:val="24"/>
        </w:rPr>
      </w:pPr>
      <w:r>
        <w:rPr>
          <w:rFonts w:ascii="Calibri" w:eastAsia="Calibri" w:hAnsi="Calibri" w:cs="Calibri"/>
          <w:color w:val="444444"/>
          <w:sz w:val="24"/>
          <w:szCs w:val="24"/>
        </w:rPr>
        <w:t>We are committed to placing the UN Convention on the Rights of the Child at the heart of our core values and ethos; believing children’s participation is integral to all aspects of school life. This results in empowered and self-confident children who can advocate for the rights of children everywhere.</w:t>
      </w:r>
    </w:p>
    <w:p>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This ethos further fosters a sense of community, respect and responsibility. It encourages the children to be active and informed citizens, who look to develop a positive future for all; campaigning and raising awareness.</w:t>
      </w:r>
    </w:p>
    <w:p>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The children’s experiences at Gwyn Jones Primary ensure the children know that they have the Rights of the Child and that these rights are inalienable. They also understand responsibilities they have as members of our local and global society.</w:t>
      </w:r>
    </w:p>
    <w:p>
      <w:pPr>
        <w:shd w:val="clear" w:color="auto" w:fill="FFFFFF"/>
        <w:spacing w:before="260" w:after="220"/>
        <w:rPr>
          <w:rFonts w:ascii="Calibri" w:eastAsia="Calibri" w:hAnsi="Calibri" w:cs="Calibri"/>
          <w:b/>
          <w:sz w:val="24"/>
          <w:szCs w:val="24"/>
        </w:rPr>
      </w:pPr>
      <w:r>
        <w:rPr>
          <w:rFonts w:ascii="Calibri" w:eastAsia="Calibri" w:hAnsi="Calibri" w:cs="Calibri"/>
          <w:b/>
          <w:sz w:val="24"/>
          <w:szCs w:val="24"/>
        </w:rPr>
        <w:lastRenderedPageBreak/>
        <w:t>How to Apply</w:t>
      </w:r>
    </w:p>
    <w:p>
      <w:pPr>
        <w:rPr>
          <w:rFonts w:ascii="Calibri" w:eastAsia="Calibri" w:hAnsi="Calibri" w:cs="Calibri"/>
          <w:sz w:val="24"/>
          <w:szCs w:val="24"/>
        </w:rPr>
      </w:pPr>
      <w:r>
        <w:rPr>
          <w:rFonts w:ascii="Calibri" w:eastAsia="Calibri" w:hAnsi="Calibri" w:cs="Calibri"/>
          <w:sz w:val="24"/>
          <w:szCs w:val="24"/>
        </w:rPr>
        <w:t xml:space="preserve">Should you wish to apply for the post, please complete an application form and include a personal statement, which clearly demonstrates your suitability for this role. Please send your completed applications to </w:t>
      </w:r>
      <w:hyperlink r:id="rId14">
        <w:r>
          <w:rPr>
            <w:rFonts w:ascii="Calibri" w:eastAsia="Calibri" w:hAnsi="Calibri" w:cs="Calibri"/>
            <w:color w:val="1155CC"/>
            <w:sz w:val="24"/>
            <w:szCs w:val="24"/>
            <w:u w:val="single"/>
          </w:rPr>
          <w:t>HR@gwynjones.waltham.sch.uk</w:t>
        </w:r>
      </w:hyperlink>
      <w:r>
        <w:rPr>
          <w:rFonts w:ascii="Calibri" w:eastAsia="Calibri" w:hAnsi="Calibri" w:cs="Calibri"/>
          <w:sz w:val="24"/>
          <w:szCs w:val="24"/>
        </w:rPr>
        <w:t xml:space="preserve"> </w:t>
      </w:r>
    </w:p>
    <w:p>
      <w:pPr>
        <w:rPr>
          <w:rFonts w:ascii="Calibri" w:eastAsia="Calibri" w:hAnsi="Calibri" w:cs="Calibri"/>
          <w:sz w:val="24"/>
          <w:szCs w:val="24"/>
        </w:rPr>
      </w:pPr>
    </w:p>
    <w:p>
      <w:pPr>
        <w:rPr>
          <w:rFonts w:ascii="Calibri" w:eastAsia="Calibri" w:hAnsi="Calibri" w:cs="Calibri"/>
          <w:b/>
          <w:sz w:val="24"/>
          <w:szCs w:val="24"/>
        </w:rPr>
      </w:pPr>
      <w:r>
        <w:rPr>
          <w:rFonts w:ascii="Calibri" w:eastAsia="Calibri" w:hAnsi="Calibri" w:cs="Calibri"/>
          <w:b/>
          <w:sz w:val="24"/>
          <w:szCs w:val="24"/>
        </w:rPr>
        <w:t>Closing Date</w:t>
      </w:r>
    </w:p>
    <w:p>
      <w:pPr>
        <w:rPr>
          <w:rFonts w:ascii="Calibri" w:eastAsia="Calibri" w:hAnsi="Calibri" w:cs="Calibri"/>
          <w:sz w:val="24"/>
          <w:szCs w:val="24"/>
        </w:rPr>
      </w:pPr>
      <w:r>
        <w:rPr>
          <w:rFonts w:ascii="Calibri" w:eastAsia="Calibri" w:hAnsi="Calibri" w:cs="Calibri"/>
          <w:sz w:val="24"/>
          <w:szCs w:val="24"/>
        </w:rPr>
        <w:t xml:space="preserve">Please ensure your application arrives by 5pm on the closing date of </w:t>
      </w:r>
      <w:bookmarkStart w:id="3" w:name="_Hlk99368924"/>
      <w:r>
        <w:rPr>
          <w:rFonts w:ascii="Calibri" w:eastAsia="Calibri" w:hAnsi="Calibri" w:cs="Calibri"/>
          <w:sz w:val="24"/>
          <w:szCs w:val="24"/>
        </w:rPr>
        <w:t>26</w:t>
      </w:r>
      <w:r>
        <w:rPr>
          <w:rFonts w:ascii="Calibri" w:eastAsia="Calibri" w:hAnsi="Calibri" w:cs="Calibri"/>
          <w:sz w:val="24"/>
          <w:szCs w:val="24"/>
          <w:vertAlign w:val="superscript"/>
        </w:rPr>
        <w:t>th</w:t>
      </w:r>
      <w:r>
        <w:rPr>
          <w:rFonts w:ascii="Calibri" w:eastAsia="Calibri" w:hAnsi="Calibri" w:cs="Calibri"/>
          <w:sz w:val="24"/>
          <w:szCs w:val="24"/>
        </w:rPr>
        <w:t xml:space="preserve"> April 2024. </w:t>
      </w:r>
      <w:bookmarkEnd w:id="3"/>
    </w:p>
    <w:p>
      <w:pPr>
        <w:widowControl w:val="0"/>
        <w:rPr>
          <w:rFonts w:asciiTheme="minorHAnsi" w:eastAsia="Times New Roman" w:hAnsiTheme="minorHAnsi" w:cs="Times New Roman"/>
          <w:sz w:val="26"/>
          <w:szCs w:val="26"/>
        </w:rPr>
      </w:pPr>
    </w:p>
    <w:p>
      <w:pPr>
        <w:rPr>
          <w:rFonts w:ascii="Calibri" w:eastAsia="Calibri" w:hAnsi="Calibri" w:cs="Calibri"/>
          <w:b/>
          <w:sz w:val="24"/>
          <w:szCs w:val="24"/>
        </w:rPr>
      </w:pPr>
      <w:r>
        <w:rPr>
          <w:rFonts w:ascii="Calibri" w:eastAsia="Calibri" w:hAnsi="Calibri" w:cs="Calibri"/>
          <w:b/>
          <w:sz w:val="24"/>
          <w:szCs w:val="24"/>
        </w:rPr>
        <w:t xml:space="preserve">Shortlisting </w:t>
      </w:r>
    </w:p>
    <w:p>
      <w:pPr>
        <w:rPr>
          <w:rFonts w:ascii="Calibri" w:eastAsia="Calibri" w:hAnsi="Calibri" w:cs="Calibri"/>
          <w:sz w:val="24"/>
          <w:szCs w:val="24"/>
        </w:rPr>
      </w:pPr>
      <w:r>
        <w:rPr>
          <w:rFonts w:ascii="Calibri" w:eastAsia="Calibri" w:hAnsi="Calibri" w:cs="Calibri"/>
          <w:sz w:val="24"/>
          <w:szCs w:val="24"/>
        </w:rPr>
        <w:t>Shortlisting will take place on</w:t>
      </w:r>
      <w:bookmarkStart w:id="4" w:name="_Hlk99368954"/>
      <w:r>
        <w:rPr>
          <w:rFonts w:ascii="Calibri" w:eastAsia="Calibri" w:hAnsi="Calibri" w:cs="Calibri"/>
          <w:sz w:val="24"/>
          <w:szCs w:val="24"/>
        </w:rPr>
        <w:t xml:space="preserve"> Monday </w:t>
      </w:r>
      <w:bookmarkEnd w:id="4"/>
      <w:r>
        <w:rPr>
          <w:rFonts w:ascii="Calibri" w:eastAsia="Calibri" w:hAnsi="Calibri" w:cs="Calibri"/>
          <w:sz w:val="24"/>
          <w:szCs w:val="24"/>
        </w:rPr>
        <w:t>29</w:t>
      </w:r>
      <w:r>
        <w:rPr>
          <w:rFonts w:ascii="Calibri" w:eastAsia="Calibri" w:hAnsi="Calibri" w:cs="Calibri"/>
          <w:sz w:val="24"/>
          <w:szCs w:val="24"/>
          <w:vertAlign w:val="superscript"/>
        </w:rPr>
        <w:t>th</w:t>
      </w:r>
      <w:r>
        <w:rPr>
          <w:rFonts w:ascii="Calibri" w:eastAsia="Calibri" w:hAnsi="Calibri" w:cs="Calibri"/>
          <w:sz w:val="24"/>
          <w:szCs w:val="24"/>
        </w:rPr>
        <w:t xml:space="preserve"> April 24 if you have not heard from us by Tuesday 30</w:t>
      </w:r>
      <w:r>
        <w:rPr>
          <w:rFonts w:ascii="Calibri" w:eastAsia="Calibri" w:hAnsi="Calibri" w:cs="Calibri"/>
          <w:sz w:val="24"/>
          <w:szCs w:val="24"/>
          <w:vertAlign w:val="superscript"/>
        </w:rPr>
        <w:t>th</w:t>
      </w:r>
      <w:r>
        <w:rPr>
          <w:rFonts w:ascii="Calibri" w:eastAsia="Calibri" w:hAnsi="Calibri" w:cs="Calibri"/>
          <w:sz w:val="24"/>
          <w:szCs w:val="24"/>
        </w:rPr>
        <w:t xml:space="preserve"> April </w:t>
      </w:r>
      <w:proofErr w:type="gramStart"/>
      <w:r>
        <w:rPr>
          <w:rFonts w:ascii="Calibri" w:eastAsia="Calibri" w:hAnsi="Calibri" w:cs="Calibri"/>
          <w:sz w:val="24"/>
          <w:szCs w:val="24"/>
        </w:rPr>
        <w:t>24  please</w:t>
      </w:r>
      <w:proofErr w:type="gramEnd"/>
      <w:r>
        <w:rPr>
          <w:rFonts w:ascii="Calibri" w:eastAsia="Calibri" w:hAnsi="Calibri" w:cs="Calibri"/>
          <w:sz w:val="24"/>
          <w:szCs w:val="24"/>
        </w:rPr>
        <w:t xml:space="preserve"> assume that unfortunately, on this occasion, your application has not been successful.</w:t>
      </w:r>
    </w:p>
    <w:p>
      <w:pPr>
        <w:rPr>
          <w:rFonts w:ascii="Calibri" w:eastAsia="Calibri" w:hAnsi="Calibri" w:cs="Calibri"/>
          <w:sz w:val="24"/>
          <w:szCs w:val="24"/>
        </w:rPr>
      </w:pPr>
    </w:p>
    <w:p>
      <w:pPr>
        <w:rPr>
          <w:rFonts w:ascii="Calibri" w:eastAsia="Calibri" w:hAnsi="Calibri" w:cs="Calibri"/>
          <w:b/>
          <w:sz w:val="24"/>
          <w:szCs w:val="24"/>
        </w:rPr>
      </w:pPr>
      <w:r>
        <w:rPr>
          <w:rFonts w:ascii="Calibri" w:eastAsia="Calibri" w:hAnsi="Calibri" w:cs="Calibri"/>
          <w:b/>
          <w:sz w:val="24"/>
          <w:szCs w:val="24"/>
        </w:rPr>
        <w:t>Interview</w:t>
      </w:r>
    </w:p>
    <w:p>
      <w:pPr>
        <w:rPr>
          <w:rFonts w:ascii="Calibri" w:eastAsia="Calibri" w:hAnsi="Calibri" w:cs="Calibri"/>
          <w:sz w:val="24"/>
          <w:szCs w:val="24"/>
        </w:rPr>
      </w:pPr>
      <w:r>
        <w:rPr>
          <w:rFonts w:ascii="Calibri" w:eastAsia="Calibri" w:hAnsi="Calibri" w:cs="Calibri"/>
          <w:sz w:val="24"/>
          <w:szCs w:val="24"/>
        </w:rPr>
        <w:t>Interviews will take place on Tuesday 7</w:t>
      </w:r>
      <w:r>
        <w:rPr>
          <w:rFonts w:ascii="Calibri" w:eastAsia="Calibri" w:hAnsi="Calibri" w:cs="Calibri"/>
          <w:sz w:val="24"/>
          <w:szCs w:val="24"/>
          <w:vertAlign w:val="superscript"/>
        </w:rPr>
        <w:t>th</w:t>
      </w:r>
      <w:r>
        <w:rPr>
          <w:rFonts w:ascii="Calibri" w:eastAsia="Calibri" w:hAnsi="Calibri" w:cs="Calibri"/>
          <w:sz w:val="24"/>
          <w:szCs w:val="24"/>
        </w:rPr>
        <w:t xml:space="preserve"> May</w:t>
      </w:r>
      <w:bookmarkStart w:id="5" w:name="_GoBack"/>
      <w:bookmarkEnd w:id="5"/>
      <w:r>
        <w:rPr>
          <w:rFonts w:ascii="Calibri" w:eastAsia="Calibri" w:hAnsi="Calibri" w:cs="Calibri"/>
          <w:sz w:val="24"/>
          <w:szCs w:val="24"/>
        </w:rPr>
        <w:t xml:space="preserve"> 2024.</w:t>
      </w:r>
    </w:p>
    <w:p>
      <w:pPr>
        <w:rPr>
          <w:rFonts w:ascii="Calibri" w:eastAsia="Calibri" w:hAnsi="Calibri" w:cs="Calibri"/>
          <w:sz w:val="24"/>
          <w:szCs w:val="24"/>
        </w:rPr>
      </w:pPr>
    </w:p>
    <w:p>
      <w:pPr>
        <w:rPr>
          <w:rFonts w:ascii="Calibri" w:eastAsia="Calibri" w:hAnsi="Calibri" w:cs="Calibri"/>
          <w:b/>
          <w:sz w:val="24"/>
          <w:szCs w:val="24"/>
        </w:rPr>
      </w:pPr>
      <w:r>
        <w:rPr>
          <w:rFonts w:ascii="Calibri" w:eastAsia="Calibri" w:hAnsi="Calibri" w:cs="Calibri"/>
          <w:b/>
          <w:sz w:val="24"/>
          <w:szCs w:val="24"/>
        </w:rPr>
        <w:t>Safeguarding</w:t>
      </w:r>
    </w:p>
    <w:p>
      <w:pPr>
        <w:shd w:val="clear" w:color="auto" w:fill="FFFFFF"/>
        <w:spacing w:after="160"/>
        <w:rPr>
          <w:rFonts w:ascii="Calibri" w:eastAsia="Calibri" w:hAnsi="Calibri" w:cs="Calibri"/>
          <w:color w:val="222222"/>
          <w:sz w:val="24"/>
          <w:szCs w:val="24"/>
        </w:rPr>
      </w:pPr>
      <w:r>
        <w:rPr>
          <w:rFonts w:ascii="Calibri" w:eastAsia="Calibri" w:hAnsi="Calibri" w:cs="Calibri"/>
          <w:color w:val="222222"/>
          <w:sz w:val="24"/>
          <w:szCs w:val="24"/>
        </w:rPr>
        <w:t>Applicants called for interview are kindly requested to contact their referees so that references are received ahead of the interview dates.</w:t>
      </w:r>
    </w:p>
    <w:p>
      <w:pPr>
        <w:shd w:val="clear" w:color="auto" w:fill="FFFFFF"/>
        <w:spacing w:after="160"/>
        <w:rPr>
          <w:rFonts w:ascii="Calibri" w:eastAsia="Calibri" w:hAnsi="Calibri" w:cs="Calibri"/>
          <w:color w:val="222222"/>
          <w:sz w:val="24"/>
          <w:szCs w:val="24"/>
        </w:rPr>
      </w:pPr>
      <w:r>
        <w:rPr>
          <w:rFonts w:ascii="Calibri" w:eastAsia="Calibri" w:hAnsi="Calibri" w:cs="Calibri"/>
          <w:color w:val="222222"/>
          <w:sz w:val="24"/>
          <w:szCs w:val="24"/>
        </w:rPr>
        <w:t>Gwyn Jones Primary School is committed to safeguarding and promoting the welfare of children and young people and expects all staff and volunteers to share this commitment. The school follows safer recruitment practices and the successful applicants will be required to apply for an Enhanced Disclosure and Barring Service check.</w:t>
      </w:r>
    </w:p>
    <w:p>
      <w:pPr>
        <w:shd w:val="clear" w:color="auto" w:fill="FFFFFF"/>
        <w:spacing w:after="160"/>
        <w:rPr>
          <w:rFonts w:asciiTheme="majorHAnsi" w:eastAsia="Calibri" w:hAnsiTheme="majorHAnsi" w:cstheme="majorHAnsi"/>
          <w:color w:val="222222"/>
          <w:sz w:val="24"/>
          <w:szCs w:val="24"/>
        </w:rPr>
      </w:pPr>
      <w:r>
        <w:rPr>
          <w:rFonts w:asciiTheme="majorHAnsi" w:hAnsiTheme="majorHAnsi" w:cstheme="majorHAnsi"/>
          <w:color w:val="000000"/>
          <w:sz w:val="24"/>
          <w:szCs w:val="24"/>
        </w:rPr>
        <w:t>Following KCSIE guidance 2023 an online search may be conducted on publicly available social media for shortlisted candidates only prior to interview.</w:t>
      </w:r>
    </w:p>
    <w:p>
      <w:pPr>
        <w:shd w:val="clear" w:color="auto" w:fill="FFFFFF"/>
        <w:spacing w:after="160"/>
        <w:rPr>
          <w:rFonts w:ascii="Calibri" w:eastAsia="Calibri" w:hAnsi="Calibri" w:cs="Calibri"/>
          <w:color w:val="222222"/>
          <w:sz w:val="24"/>
          <w:szCs w:val="24"/>
        </w:rPr>
      </w:pPr>
      <w:r>
        <w:rPr>
          <w:rFonts w:ascii="Calibri" w:eastAsia="Calibri" w:hAnsi="Calibri" w:cs="Calibri"/>
          <w:color w:val="222222"/>
          <w:sz w:val="24"/>
          <w:szCs w:val="24"/>
        </w:rPr>
        <w:t>A copy of our Safeguarding Policy is available to view on our website.</w:t>
      </w:r>
    </w:p>
    <w:p>
      <w:pPr>
        <w:rPr>
          <w:rFonts w:ascii="Calibri" w:eastAsia="Calibri" w:hAnsi="Calibri" w:cs="Calibri"/>
          <w:b/>
          <w:sz w:val="24"/>
          <w:szCs w:val="24"/>
        </w:rPr>
      </w:pPr>
      <w:r>
        <w:rPr>
          <w:rFonts w:ascii="Calibri" w:eastAsia="Calibri" w:hAnsi="Calibri" w:cs="Calibri"/>
          <w:b/>
          <w:sz w:val="24"/>
          <w:szCs w:val="24"/>
        </w:rPr>
        <w:t>Location</w:t>
      </w:r>
    </w:p>
    <w:p>
      <w:pPr>
        <w:jc w:val="center"/>
        <w:rPr>
          <w:rFonts w:ascii="Calibri" w:eastAsia="Calibri" w:hAnsi="Calibri" w:cs="Calibri"/>
        </w:rPr>
      </w:pPr>
      <w:r>
        <w:rPr>
          <w:rFonts w:ascii="Calibri" w:eastAsia="Calibri" w:hAnsi="Calibri" w:cs="Calibri"/>
          <w:noProof/>
        </w:rPr>
        <w:drawing>
          <wp:inline distT="114300" distB="114300" distL="114300" distR="114300">
            <wp:extent cx="3300047" cy="168402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3305701" cy="1686905"/>
                    </a:xfrm>
                    <a:prstGeom prst="rect">
                      <a:avLst/>
                    </a:prstGeom>
                    <a:ln/>
                  </pic:spPr>
                </pic:pic>
              </a:graphicData>
            </a:graphic>
          </wp:inline>
        </w:drawing>
      </w:r>
    </w:p>
    <w:p>
      <w:pPr>
        <w:jc w:val="center"/>
        <w:rPr>
          <w:rFonts w:asciiTheme="majorHAnsi" w:hAnsiTheme="majorHAnsi" w:cstheme="majorHAnsi"/>
          <w:b/>
        </w:rPr>
      </w:pPr>
    </w:p>
    <w:p>
      <w:pPr>
        <w:jc w:val="center"/>
        <w:rPr>
          <w:rFonts w:asciiTheme="majorHAnsi" w:hAnsiTheme="majorHAnsi" w:cstheme="majorHAnsi"/>
          <w:b/>
        </w:rPr>
      </w:pPr>
      <w:r>
        <w:rPr>
          <w:rFonts w:asciiTheme="majorHAnsi" w:hAnsiTheme="majorHAnsi" w:cstheme="majorHAnsi"/>
          <w:b/>
        </w:rPr>
        <w:lastRenderedPageBreak/>
        <w:t>Class Teacher – Job description</w:t>
      </w:r>
    </w:p>
    <w:p>
      <w:pPr>
        <w:jc w:val="center"/>
        <w:rPr>
          <w:rFonts w:asciiTheme="majorHAnsi" w:hAnsiTheme="majorHAnsi" w:cstheme="majorHAnsi"/>
          <w:b/>
        </w:rPr>
      </w:pPr>
    </w:p>
    <w:p>
      <w:pPr>
        <w:rPr>
          <w:rFonts w:asciiTheme="majorHAnsi" w:hAnsiTheme="majorHAnsi" w:cstheme="majorHAnsi"/>
        </w:rPr>
      </w:pPr>
      <w:r>
        <w:rPr>
          <w:rFonts w:asciiTheme="majorHAnsi" w:hAnsiTheme="majorHAnsi" w:cstheme="majorHAnsi"/>
          <w:b/>
        </w:rPr>
        <w:t>Position:</w:t>
      </w:r>
      <w:r>
        <w:rPr>
          <w:rFonts w:asciiTheme="majorHAnsi" w:hAnsiTheme="majorHAnsi" w:cstheme="majorHAnsi"/>
        </w:rPr>
        <w:t xml:space="preserve"> Class Teacher</w:t>
      </w:r>
    </w:p>
    <w:p>
      <w:pPr>
        <w:rPr>
          <w:rFonts w:asciiTheme="majorHAnsi" w:hAnsiTheme="majorHAnsi" w:cstheme="majorHAnsi"/>
        </w:rPr>
      </w:pPr>
    </w:p>
    <w:p>
      <w:pPr>
        <w:rPr>
          <w:rFonts w:asciiTheme="majorHAnsi" w:hAnsiTheme="majorHAnsi" w:cstheme="majorHAnsi"/>
        </w:rPr>
      </w:pPr>
      <w:r>
        <w:rPr>
          <w:rFonts w:asciiTheme="majorHAnsi" w:hAnsiTheme="majorHAnsi" w:cstheme="majorHAnsi"/>
          <w:b/>
        </w:rPr>
        <w:t>Grade:</w:t>
      </w:r>
      <w:r>
        <w:rPr>
          <w:rFonts w:asciiTheme="majorHAnsi" w:hAnsiTheme="majorHAnsi" w:cstheme="majorHAnsi"/>
        </w:rPr>
        <w:t xml:space="preserve"> Teachers’ Main Scale MPS/UPS</w:t>
      </w:r>
    </w:p>
    <w:p>
      <w:pPr>
        <w:rPr>
          <w:rFonts w:asciiTheme="majorHAnsi" w:hAnsiTheme="majorHAnsi" w:cstheme="majorHAnsi"/>
        </w:rPr>
      </w:pPr>
    </w:p>
    <w:p>
      <w:pPr>
        <w:pStyle w:val="Heading"/>
        <w:rPr>
          <w:rFonts w:asciiTheme="majorHAnsi" w:hAnsiTheme="majorHAnsi"/>
          <w:lang w:val="en-GB"/>
        </w:rPr>
      </w:pPr>
      <w:r>
        <w:rPr>
          <w:rFonts w:asciiTheme="majorHAnsi" w:hAnsiTheme="majorHAnsi"/>
          <w:lang w:val="en-GB"/>
        </w:rPr>
        <w:t>Main purpose</w:t>
      </w:r>
    </w:p>
    <w:p>
      <w:pPr>
        <w:pStyle w:val="Text"/>
        <w:rPr>
          <w:rFonts w:asciiTheme="majorHAnsi" w:hAnsiTheme="majorHAnsi"/>
          <w:sz w:val="24"/>
          <w:szCs w:val="24"/>
          <w:lang w:val="en-GB"/>
        </w:rPr>
      </w:pPr>
      <w:r>
        <w:rPr>
          <w:rFonts w:asciiTheme="majorHAnsi" w:hAnsiTheme="majorHAnsi"/>
          <w:sz w:val="24"/>
          <w:szCs w:val="24"/>
          <w:lang w:val="en-GB"/>
        </w:rPr>
        <w:t>The teacher will:</w:t>
      </w:r>
    </w:p>
    <w:p>
      <w:pPr>
        <w:pStyle w:val="Text"/>
        <w:numPr>
          <w:ilvl w:val="0"/>
          <w:numId w:val="23"/>
        </w:numPr>
        <w:rPr>
          <w:rFonts w:asciiTheme="majorHAnsi" w:hAnsiTheme="majorHAnsi"/>
          <w:sz w:val="24"/>
          <w:szCs w:val="24"/>
          <w:lang w:val="en-GB"/>
        </w:rPr>
      </w:pPr>
      <w:r>
        <w:rPr>
          <w:rFonts w:asciiTheme="majorHAnsi" w:hAnsiTheme="majorHAnsi"/>
          <w:sz w:val="24"/>
          <w:szCs w:val="24"/>
          <w:lang w:val="en-GB"/>
        </w:rPr>
        <w:t>Fulfil the professional responsibilities of a teacher, as set out in the School Teachers’ Pay and Conditions Document</w:t>
      </w:r>
    </w:p>
    <w:p>
      <w:pPr>
        <w:pStyle w:val="Text"/>
        <w:numPr>
          <w:ilvl w:val="0"/>
          <w:numId w:val="23"/>
        </w:numPr>
        <w:rPr>
          <w:rFonts w:asciiTheme="majorHAnsi" w:hAnsiTheme="majorHAnsi"/>
          <w:sz w:val="24"/>
          <w:szCs w:val="24"/>
          <w:lang w:val="en-GB"/>
        </w:rPr>
      </w:pPr>
      <w:r>
        <w:rPr>
          <w:rFonts w:asciiTheme="majorHAnsi" w:hAnsiTheme="majorHAnsi"/>
          <w:sz w:val="24"/>
          <w:szCs w:val="24"/>
          <w:lang w:val="en-GB"/>
        </w:rPr>
        <w:t>Meet the expectations set out in the Teachers’ Standards</w:t>
      </w:r>
    </w:p>
    <w:p>
      <w:pPr>
        <w:rPr>
          <w:rFonts w:asciiTheme="majorHAnsi" w:hAnsiTheme="majorHAnsi"/>
          <w:sz w:val="24"/>
          <w:szCs w:val="24"/>
        </w:rPr>
      </w:pPr>
    </w:p>
    <w:p>
      <w:pPr>
        <w:pStyle w:val="Text"/>
        <w:rPr>
          <w:rFonts w:asciiTheme="majorHAnsi" w:hAnsiTheme="majorHAnsi"/>
          <w:b/>
          <w:sz w:val="24"/>
          <w:szCs w:val="24"/>
          <w:lang w:val="en-GB"/>
        </w:rPr>
      </w:pPr>
      <w:r>
        <w:rPr>
          <w:rFonts w:asciiTheme="majorHAnsi" w:hAnsiTheme="majorHAnsi"/>
          <w:b/>
          <w:sz w:val="24"/>
          <w:szCs w:val="24"/>
          <w:lang w:val="en-GB"/>
        </w:rPr>
        <w:t>Duties and responsibilities</w:t>
      </w:r>
    </w:p>
    <w:p>
      <w:pPr>
        <w:pStyle w:val="Text"/>
        <w:rPr>
          <w:rFonts w:asciiTheme="majorHAnsi" w:hAnsiTheme="majorHAnsi"/>
          <w:b/>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Teaching</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Plan and teach well-structured lessons to assigned classes, following the school’s plans, curriculum and schemes of work</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Assess, monitor, record and report on the learning needs, progress and achievements of assigned pupils, making accurate and productive use of assessment</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Adapt teaching to respond to the strengths and needs of pupils, including those with SEND</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Set high expectations which inspire, motivate and challenge pupils</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Promote good progress and outcomes by pupils</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Demonstrate good subject and curriculum knowledge</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Participate in arrangements for preparing pupils for external tests</w:t>
      </w:r>
    </w:p>
    <w:p>
      <w:pPr>
        <w:pStyle w:val="Text"/>
        <w:numPr>
          <w:ilvl w:val="0"/>
          <w:numId w:val="16"/>
        </w:numPr>
        <w:rPr>
          <w:rFonts w:asciiTheme="majorHAnsi" w:hAnsiTheme="majorHAnsi"/>
          <w:sz w:val="24"/>
          <w:szCs w:val="24"/>
          <w:lang w:val="en-GB"/>
        </w:rPr>
      </w:pPr>
      <w:r>
        <w:rPr>
          <w:rFonts w:asciiTheme="majorHAnsi" w:hAnsiTheme="majorHAnsi"/>
          <w:sz w:val="24"/>
          <w:szCs w:val="24"/>
          <w:lang w:val="en-GB"/>
        </w:rPr>
        <w:t>Teach consistently good lessons</w:t>
      </w:r>
    </w:p>
    <w:p>
      <w:pPr>
        <w:pStyle w:val="Text"/>
        <w:rPr>
          <w:rFonts w:asciiTheme="majorHAnsi" w:hAnsiTheme="majorHAnsi"/>
          <w:b/>
          <w:sz w:val="24"/>
          <w:szCs w:val="24"/>
          <w:lang w:val="en-GB"/>
        </w:rPr>
      </w:pPr>
    </w:p>
    <w:p>
      <w:pPr>
        <w:pStyle w:val="Text"/>
        <w:rPr>
          <w:rFonts w:asciiTheme="majorHAnsi" w:hAnsiTheme="majorHAnsi"/>
          <w:b/>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Whole-school organisation, strategy and development</w:t>
      </w:r>
    </w:p>
    <w:p>
      <w:pPr>
        <w:pStyle w:val="Text"/>
        <w:numPr>
          <w:ilvl w:val="0"/>
          <w:numId w:val="17"/>
        </w:numPr>
        <w:rPr>
          <w:rFonts w:asciiTheme="majorHAnsi" w:hAnsiTheme="majorHAnsi"/>
          <w:sz w:val="24"/>
          <w:szCs w:val="24"/>
          <w:lang w:val="en-GB"/>
        </w:rPr>
      </w:pPr>
      <w:r>
        <w:rPr>
          <w:rFonts w:asciiTheme="majorHAnsi" w:hAnsiTheme="majorHAnsi"/>
          <w:sz w:val="24"/>
          <w:szCs w:val="24"/>
          <w:lang w:val="en-GB"/>
        </w:rPr>
        <w:t>Contribute to the development, implementation and evaluation of the school’s policies, practices and procedures, so as to support the school’s values and vision</w:t>
      </w:r>
    </w:p>
    <w:p>
      <w:pPr>
        <w:pStyle w:val="Text"/>
        <w:numPr>
          <w:ilvl w:val="0"/>
          <w:numId w:val="17"/>
        </w:numPr>
        <w:rPr>
          <w:rFonts w:asciiTheme="majorHAnsi" w:hAnsiTheme="majorHAnsi"/>
          <w:sz w:val="24"/>
          <w:szCs w:val="24"/>
          <w:lang w:val="en-GB"/>
        </w:rPr>
      </w:pPr>
      <w:r>
        <w:rPr>
          <w:rFonts w:asciiTheme="majorHAnsi" w:hAnsiTheme="majorHAnsi"/>
          <w:sz w:val="24"/>
          <w:szCs w:val="24"/>
          <w:lang w:val="en-GB"/>
        </w:rPr>
        <w:t>Make a positive contribution to the wider life and ethos of the school</w:t>
      </w:r>
    </w:p>
    <w:p>
      <w:pPr>
        <w:pStyle w:val="Text"/>
        <w:numPr>
          <w:ilvl w:val="0"/>
          <w:numId w:val="17"/>
        </w:numPr>
        <w:rPr>
          <w:rFonts w:asciiTheme="majorHAnsi" w:hAnsiTheme="majorHAnsi"/>
          <w:sz w:val="24"/>
          <w:szCs w:val="24"/>
          <w:lang w:val="en-GB"/>
        </w:rPr>
      </w:pPr>
      <w:r>
        <w:rPr>
          <w:rFonts w:asciiTheme="majorHAnsi" w:hAnsiTheme="majorHAnsi"/>
          <w:sz w:val="24"/>
          <w:szCs w:val="24"/>
          <w:lang w:val="en-GB"/>
        </w:rPr>
        <w:t>Work with others on curriculum and pupil development to secure co-ordinated outcomes</w:t>
      </w:r>
    </w:p>
    <w:p>
      <w:pPr>
        <w:pStyle w:val="Text"/>
        <w:numPr>
          <w:ilvl w:val="0"/>
          <w:numId w:val="17"/>
        </w:numPr>
        <w:rPr>
          <w:rFonts w:asciiTheme="majorHAnsi" w:hAnsiTheme="majorHAnsi"/>
          <w:sz w:val="24"/>
          <w:szCs w:val="24"/>
          <w:lang w:val="en-GB"/>
        </w:rPr>
      </w:pPr>
      <w:r>
        <w:rPr>
          <w:rFonts w:asciiTheme="majorHAnsi" w:hAnsiTheme="majorHAnsi"/>
          <w:sz w:val="24"/>
          <w:szCs w:val="24"/>
          <w:lang w:val="en-GB"/>
        </w:rPr>
        <w:lastRenderedPageBreak/>
        <w:t>Provide cover, in the unforeseen circumstance that another teacher is unable to teach</w:t>
      </w:r>
    </w:p>
    <w:p>
      <w:pPr>
        <w:pStyle w:val="Text"/>
        <w:rPr>
          <w:rFonts w:asciiTheme="majorHAnsi" w:hAnsiTheme="majorHAnsi"/>
          <w:b/>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Health, safety and discipline</w:t>
      </w:r>
    </w:p>
    <w:p>
      <w:pPr>
        <w:pStyle w:val="Text"/>
        <w:numPr>
          <w:ilvl w:val="0"/>
          <w:numId w:val="18"/>
        </w:numPr>
        <w:rPr>
          <w:rFonts w:asciiTheme="majorHAnsi" w:hAnsiTheme="majorHAnsi"/>
          <w:sz w:val="24"/>
          <w:szCs w:val="24"/>
          <w:lang w:val="en-GB"/>
        </w:rPr>
      </w:pPr>
      <w:r>
        <w:rPr>
          <w:rFonts w:asciiTheme="majorHAnsi" w:hAnsiTheme="majorHAnsi"/>
          <w:sz w:val="24"/>
          <w:szCs w:val="24"/>
          <w:lang w:val="en-GB"/>
        </w:rPr>
        <w:t>Promote the safety and wellbeing of pupils</w:t>
      </w:r>
    </w:p>
    <w:p>
      <w:pPr>
        <w:pStyle w:val="Text"/>
        <w:numPr>
          <w:ilvl w:val="0"/>
          <w:numId w:val="18"/>
        </w:numPr>
        <w:rPr>
          <w:rFonts w:asciiTheme="majorHAnsi" w:hAnsiTheme="majorHAnsi"/>
          <w:sz w:val="24"/>
          <w:szCs w:val="24"/>
          <w:lang w:val="en-GB"/>
        </w:rPr>
      </w:pPr>
      <w:r>
        <w:rPr>
          <w:rFonts w:asciiTheme="majorHAnsi" w:hAnsiTheme="majorHAnsi"/>
          <w:sz w:val="24"/>
          <w:szCs w:val="24"/>
          <w:lang w:val="en-GB"/>
        </w:rPr>
        <w:t>Maintain good order and discipline among pupils, managing behaviour effectively to ensure a good and safe learning environment</w:t>
      </w:r>
      <w:r>
        <w:rPr>
          <w:rFonts w:asciiTheme="majorHAnsi" w:hAnsiTheme="majorHAnsi"/>
          <w:sz w:val="24"/>
          <w:szCs w:val="24"/>
        </w:rPr>
        <w:t xml:space="preserve"> </w:t>
      </w:r>
    </w:p>
    <w:p>
      <w:pPr>
        <w:pStyle w:val="Text"/>
        <w:numPr>
          <w:ilvl w:val="0"/>
          <w:numId w:val="18"/>
        </w:numPr>
        <w:rPr>
          <w:rFonts w:asciiTheme="majorHAnsi" w:hAnsiTheme="majorHAnsi"/>
          <w:sz w:val="24"/>
          <w:szCs w:val="24"/>
          <w:lang w:val="en-GB"/>
        </w:rPr>
      </w:pPr>
      <w:r>
        <w:rPr>
          <w:rFonts w:asciiTheme="majorHAnsi" w:hAnsiTheme="majorHAnsi"/>
          <w:sz w:val="24"/>
          <w:szCs w:val="24"/>
        </w:rPr>
        <w:t>Safeguard and promote the welfare of children and young people, and follow school policies and the staff code of conduct.</w:t>
      </w:r>
    </w:p>
    <w:p>
      <w:pPr>
        <w:pStyle w:val="Text"/>
        <w:rPr>
          <w:rFonts w:asciiTheme="majorHAnsi" w:hAnsiTheme="majorHAnsi"/>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Professional development</w:t>
      </w:r>
    </w:p>
    <w:p>
      <w:pPr>
        <w:pStyle w:val="Text"/>
        <w:numPr>
          <w:ilvl w:val="0"/>
          <w:numId w:val="19"/>
        </w:numPr>
        <w:rPr>
          <w:rFonts w:asciiTheme="majorHAnsi" w:hAnsiTheme="majorHAnsi"/>
          <w:sz w:val="24"/>
          <w:szCs w:val="24"/>
          <w:lang w:val="en-GB"/>
        </w:rPr>
      </w:pPr>
      <w:r>
        <w:rPr>
          <w:rFonts w:asciiTheme="majorHAnsi" w:hAnsiTheme="majorHAnsi"/>
          <w:sz w:val="24"/>
          <w:szCs w:val="24"/>
          <w:lang w:val="en-GB"/>
        </w:rPr>
        <w:t>Take part in the school’s appraisal procedures</w:t>
      </w:r>
    </w:p>
    <w:p>
      <w:pPr>
        <w:pStyle w:val="Text"/>
        <w:numPr>
          <w:ilvl w:val="0"/>
          <w:numId w:val="19"/>
        </w:numPr>
        <w:rPr>
          <w:rFonts w:asciiTheme="majorHAnsi" w:hAnsiTheme="majorHAnsi"/>
          <w:sz w:val="24"/>
          <w:szCs w:val="24"/>
          <w:lang w:val="en-GB"/>
        </w:rPr>
      </w:pPr>
      <w:r>
        <w:rPr>
          <w:rFonts w:asciiTheme="majorHAnsi" w:hAnsiTheme="majorHAnsi"/>
          <w:sz w:val="24"/>
          <w:szCs w:val="24"/>
          <w:lang w:val="en-GB"/>
        </w:rPr>
        <w:t>Take part in further training and development in order to improve own teaching</w:t>
      </w:r>
    </w:p>
    <w:p>
      <w:pPr>
        <w:pStyle w:val="Text"/>
        <w:numPr>
          <w:ilvl w:val="0"/>
          <w:numId w:val="19"/>
        </w:numPr>
        <w:rPr>
          <w:rFonts w:asciiTheme="majorHAnsi" w:hAnsiTheme="majorHAnsi"/>
          <w:sz w:val="24"/>
          <w:szCs w:val="24"/>
          <w:lang w:val="en-GB"/>
        </w:rPr>
      </w:pPr>
      <w:r>
        <w:rPr>
          <w:rFonts w:asciiTheme="majorHAnsi" w:hAnsiTheme="majorHAnsi"/>
          <w:sz w:val="24"/>
          <w:szCs w:val="24"/>
          <w:lang w:val="en-GB"/>
        </w:rPr>
        <w:t>Where appropriate, take part in the appraisal and professional development of others</w:t>
      </w:r>
    </w:p>
    <w:p>
      <w:pPr>
        <w:pStyle w:val="Text"/>
        <w:rPr>
          <w:rFonts w:asciiTheme="majorHAnsi" w:hAnsiTheme="majorHAnsi"/>
          <w:b/>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Communication</w:t>
      </w:r>
    </w:p>
    <w:p>
      <w:pPr>
        <w:pStyle w:val="Text"/>
        <w:numPr>
          <w:ilvl w:val="0"/>
          <w:numId w:val="20"/>
        </w:numPr>
        <w:rPr>
          <w:rFonts w:asciiTheme="majorHAnsi" w:hAnsiTheme="majorHAnsi"/>
          <w:sz w:val="24"/>
          <w:szCs w:val="24"/>
          <w:lang w:val="en-GB"/>
        </w:rPr>
      </w:pPr>
      <w:r>
        <w:rPr>
          <w:rFonts w:asciiTheme="majorHAnsi" w:hAnsiTheme="majorHAnsi"/>
          <w:sz w:val="24"/>
          <w:szCs w:val="24"/>
          <w:lang w:val="en-GB"/>
        </w:rPr>
        <w:t>Communicate effectively with pupils, parents and carers</w:t>
      </w:r>
    </w:p>
    <w:p>
      <w:pPr>
        <w:pStyle w:val="Text"/>
        <w:rPr>
          <w:rFonts w:asciiTheme="majorHAnsi" w:hAnsiTheme="majorHAnsi"/>
          <w:b/>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Working with colleagues and other relevant professionals</w:t>
      </w:r>
    </w:p>
    <w:p>
      <w:pPr>
        <w:pStyle w:val="Text"/>
        <w:numPr>
          <w:ilvl w:val="0"/>
          <w:numId w:val="20"/>
        </w:numPr>
        <w:rPr>
          <w:rFonts w:asciiTheme="majorHAnsi" w:hAnsiTheme="majorHAnsi"/>
          <w:sz w:val="24"/>
          <w:szCs w:val="24"/>
          <w:lang w:val="en-GB"/>
        </w:rPr>
      </w:pPr>
      <w:r>
        <w:rPr>
          <w:rFonts w:asciiTheme="majorHAnsi" w:hAnsiTheme="majorHAnsi"/>
          <w:sz w:val="24"/>
          <w:szCs w:val="24"/>
          <w:lang w:val="en-GB"/>
        </w:rPr>
        <w:t>Collaborate and work with colleagues and other relevant professionals within and beyond the school</w:t>
      </w:r>
    </w:p>
    <w:p>
      <w:pPr>
        <w:pStyle w:val="Text"/>
        <w:numPr>
          <w:ilvl w:val="0"/>
          <w:numId w:val="20"/>
        </w:numPr>
        <w:rPr>
          <w:rFonts w:asciiTheme="majorHAnsi" w:hAnsiTheme="majorHAnsi"/>
          <w:sz w:val="24"/>
          <w:szCs w:val="24"/>
          <w:lang w:val="en-GB"/>
        </w:rPr>
      </w:pPr>
      <w:r>
        <w:rPr>
          <w:rFonts w:asciiTheme="majorHAnsi" w:hAnsiTheme="majorHAnsi"/>
          <w:sz w:val="24"/>
          <w:szCs w:val="24"/>
          <w:lang w:val="en-GB"/>
        </w:rPr>
        <w:t>Develop effective professional relationships with colleagues</w:t>
      </w:r>
    </w:p>
    <w:p>
      <w:pPr>
        <w:pStyle w:val="Text"/>
        <w:rPr>
          <w:rFonts w:asciiTheme="majorHAnsi" w:hAnsiTheme="majorHAnsi"/>
          <w:b/>
          <w:sz w:val="24"/>
          <w:szCs w:val="24"/>
          <w:lang w:val="en-GB"/>
        </w:rPr>
      </w:pPr>
    </w:p>
    <w:p>
      <w:pPr>
        <w:pStyle w:val="Text"/>
        <w:rPr>
          <w:rFonts w:asciiTheme="majorHAnsi" w:hAnsiTheme="majorHAnsi"/>
          <w:b/>
          <w:sz w:val="24"/>
          <w:szCs w:val="24"/>
          <w:lang w:val="en-GB"/>
        </w:rPr>
      </w:pPr>
      <w:r>
        <w:rPr>
          <w:rFonts w:asciiTheme="majorHAnsi" w:hAnsiTheme="majorHAnsi"/>
          <w:b/>
          <w:sz w:val="24"/>
          <w:szCs w:val="24"/>
          <w:lang w:val="en-GB"/>
        </w:rPr>
        <w:t>Personal and professional conduct</w:t>
      </w:r>
    </w:p>
    <w:p>
      <w:pPr>
        <w:pStyle w:val="Text"/>
        <w:numPr>
          <w:ilvl w:val="0"/>
          <w:numId w:val="22"/>
        </w:numPr>
        <w:rPr>
          <w:rFonts w:asciiTheme="majorHAnsi" w:hAnsiTheme="majorHAnsi"/>
          <w:sz w:val="24"/>
          <w:szCs w:val="24"/>
          <w:lang w:val="en-GB"/>
        </w:rPr>
      </w:pPr>
      <w:r>
        <w:rPr>
          <w:rFonts w:asciiTheme="majorHAnsi" w:hAnsiTheme="majorHAnsi"/>
          <w:sz w:val="24"/>
          <w:szCs w:val="24"/>
          <w:lang w:val="en-GB"/>
        </w:rPr>
        <w:t>Uphold public trust in the profession and maintain high standards of ethics and behaviour, within and outside school</w:t>
      </w:r>
    </w:p>
    <w:p>
      <w:pPr>
        <w:pStyle w:val="Text"/>
        <w:numPr>
          <w:ilvl w:val="0"/>
          <w:numId w:val="22"/>
        </w:numPr>
        <w:rPr>
          <w:rFonts w:asciiTheme="majorHAnsi" w:hAnsiTheme="majorHAnsi"/>
          <w:sz w:val="24"/>
          <w:szCs w:val="24"/>
          <w:lang w:val="en-GB"/>
        </w:rPr>
      </w:pPr>
      <w:r>
        <w:rPr>
          <w:rFonts w:asciiTheme="majorHAnsi" w:hAnsiTheme="majorHAnsi"/>
          <w:sz w:val="24"/>
          <w:szCs w:val="24"/>
          <w:lang w:val="en-GB"/>
        </w:rPr>
        <w:t>Have proper and professional regard for the ethos, policies and practices of the school, and maintain high standards of attendance and punctuality</w:t>
      </w:r>
    </w:p>
    <w:p>
      <w:pPr>
        <w:pStyle w:val="Text"/>
        <w:numPr>
          <w:ilvl w:val="0"/>
          <w:numId w:val="21"/>
        </w:numPr>
        <w:rPr>
          <w:rFonts w:asciiTheme="majorHAnsi" w:hAnsiTheme="majorHAnsi"/>
          <w:sz w:val="24"/>
          <w:szCs w:val="24"/>
          <w:lang w:val="en-GB"/>
        </w:rPr>
      </w:pPr>
      <w:r>
        <w:rPr>
          <w:rFonts w:asciiTheme="majorHAnsi" w:hAnsiTheme="majorHAnsi"/>
          <w:sz w:val="24"/>
          <w:szCs w:val="24"/>
          <w:lang w:val="en-GB"/>
        </w:rPr>
        <w:t>Understand and act within the statutory frameworks setting out their professional duties and responsibilities</w:t>
      </w:r>
    </w:p>
    <w:p>
      <w:pPr>
        <w:rPr>
          <w:rFonts w:asciiTheme="majorHAnsi" w:hAnsiTheme="majorHAnsi"/>
          <w:sz w:val="24"/>
          <w:szCs w:val="24"/>
        </w:rPr>
      </w:pPr>
    </w:p>
    <w:p>
      <w:pPr>
        <w:rPr>
          <w:rFonts w:asciiTheme="majorHAnsi" w:hAnsiTheme="majorHAnsi"/>
          <w:sz w:val="24"/>
          <w:szCs w:val="24"/>
        </w:rPr>
      </w:pPr>
    </w:p>
    <w:p>
      <w:pPr>
        <w:rPr>
          <w:rFonts w:asciiTheme="majorHAnsi" w:hAnsiTheme="majorHAnsi"/>
          <w:sz w:val="24"/>
          <w:szCs w:val="24"/>
        </w:rPr>
      </w:pPr>
    </w:p>
    <w:p>
      <w:pPr>
        <w:rPr>
          <w:rFonts w:asciiTheme="majorHAnsi" w:hAnsiTheme="majorHAnsi"/>
          <w:sz w:val="24"/>
          <w:szCs w:val="24"/>
        </w:rPr>
      </w:pPr>
    </w:p>
    <w:p>
      <w:pPr>
        <w:pStyle w:val="Heading"/>
        <w:rPr>
          <w:rFonts w:asciiTheme="majorHAnsi" w:hAnsiTheme="majorHAnsi" w:cs="Arial"/>
          <w:lang w:val="en-GB"/>
        </w:rPr>
      </w:pPr>
      <w:r>
        <w:rPr>
          <w:rFonts w:asciiTheme="majorHAnsi" w:hAnsiTheme="majorHAnsi" w:cs="Arial"/>
          <w:lang w:val="en-GB"/>
        </w:rPr>
        <w:lastRenderedPageBreak/>
        <w:t>Notes:</w:t>
      </w:r>
    </w:p>
    <w:p>
      <w:pPr>
        <w:spacing w:before="240" w:after="240"/>
        <w:jc w:val="both"/>
        <w:rPr>
          <w:rFonts w:asciiTheme="majorHAnsi" w:hAnsiTheme="majorHAnsi"/>
          <w:sz w:val="24"/>
          <w:szCs w:val="24"/>
        </w:rPr>
      </w:pPr>
      <w:r>
        <w:rPr>
          <w:rFonts w:asciiTheme="majorHAnsi" w:hAnsiTheme="majorHAnsi"/>
          <w:sz w:val="24"/>
          <w:szCs w:val="24"/>
        </w:rPr>
        <w:t xml:space="preserve">This job description will be reviewed regularly and may be subject to modification and amendment after consultation </w:t>
      </w:r>
    </w:p>
    <w:p>
      <w:pPr>
        <w:spacing w:before="240" w:after="240"/>
        <w:jc w:val="both"/>
        <w:rPr>
          <w:rFonts w:asciiTheme="majorHAnsi" w:hAnsiTheme="majorHAnsi"/>
          <w:sz w:val="24"/>
          <w:szCs w:val="24"/>
        </w:rPr>
      </w:pPr>
    </w:p>
    <w:p>
      <w:pPr>
        <w:spacing w:before="240" w:after="240"/>
        <w:jc w:val="both"/>
        <w:rPr>
          <w:rFonts w:asciiTheme="majorHAnsi" w:hAnsiTheme="majorHAnsi"/>
          <w:b/>
          <w:sz w:val="24"/>
          <w:szCs w:val="24"/>
        </w:rPr>
      </w:pPr>
      <w:r>
        <w:rPr>
          <w:rFonts w:asciiTheme="majorHAnsi" w:hAnsiTheme="majorHAnsi"/>
          <w:b/>
          <w:sz w:val="24"/>
          <w:szCs w:val="24"/>
        </w:rPr>
        <w:t xml:space="preserve">Signed by Class teacher:                                                                  </w:t>
      </w:r>
      <w:r>
        <w:rPr>
          <w:rFonts w:asciiTheme="majorHAnsi" w:hAnsiTheme="majorHAnsi"/>
          <w:b/>
          <w:sz w:val="24"/>
          <w:szCs w:val="24"/>
        </w:rPr>
        <w:tab/>
        <w:t xml:space="preserve">         </w:t>
      </w:r>
      <w:r>
        <w:rPr>
          <w:rFonts w:asciiTheme="majorHAnsi" w:hAnsiTheme="majorHAnsi"/>
          <w:b/>
          <w:sz w:val="24"/>
          <w:szCs w:val="24"/>
        </w:rPr>
        <w:tab/>
        <w:t xml:space="preserve"> Date:</w:t>
      </w:r>
    </w:p>
    <w:p>
      <w:pPr>
        <w:spacing w:before="240" w:after="240"/>
        <w:jc w:val="both"/>
        <w:rPr>
          <w:rFonts w:asciiTheme="majorHAnsi" w:hAnsiTheme="majorHAnsi"/>
          <w:b/>
          <w:sz w:val="24"/>
          <w:szCs w:val="24"/>
        </w:rPr>
      </w:pPr>
      <w:r>
        <w:rPr>
          <w:rFonts w:asciiTheme="majorHAnsi" w:hAnsiTheme="majorHAnsi"/>
          <w:b/>
          <w:sz w:val="24"/>
          <w:szCs w:val="24"/>
        </w:rPr>
        <w:t xml:space="preserve"> </w:t>
      </w:r>
    </w:p>
    <w:p>
      <w:pPr>
        <w:spacing w:before="240" w:after="240"/>
        <w:jc w:val="both"/>
        <w:rPr>
          <w:rFonts w:asciiTheme="majorHAnsi" w:hAnsiTheme="majorHAnsi"/>
          <w:b/>
          <w:sz w:val="24"/>
          <w:szCs w:val="24"/>
        </w:rPr>
        <w:sectPr>
          <w:footerReference w:type="default" r:id="rId16"/>
          <w:footerReference w:type="first" r:id="rId17"/>
          <w:pgSz w:w="12240" w:h="15840"/>
          <w:pgMar w:top="1440" w:right="1440" w:bottom="1440" w:left="1440" w:header="720" w:footer="720" w:gutter="0"/>
          <w:pgNumType w:start="1"/>
          <w:cols w:space="720"/>
          <w:titlePg/>
        </w:sectPr>
      </w:pPr>
      <w:r>
        <w:rPr>
          <w:rFonts w:asciiTheme="majorHAnsi" w:hAnsiTheme="majorHAnsi"/>
          <w:b/>
          <w:sz w:val="24"/>
          <w:szCs w:val="24"/>
        </w:rPr>
        <w:t>Signed by Head Teacher:                                                                                          Date:</w:t>
      </w:r>
    </w:p>
    <w:p>
      <w:pPr>
        <w:rPr>
          <w:rFonts w:asciiTheme="majorHAnsi" w:hAnsiTheme="majorHAnsi" w:cstheme="majorHAnsi"/>
          <w:i/>
        </w:rPr>
      </w:pPr>
    </w:p>
    <w:p>
      <w:pPr>
        <w:rPr>
          <w:rFonts w:asciiTheme="majorHAnsi" w:eastAsia="Calibri" w:hAnsiTheme="majorHAnsi" w:cstheme="majorHAnsi"/>
          <w:sz w:val="24"/>
          <w:szCs w:val="24"/>
        </w:rPr>
      </w:pPr>
    </w:p>
    <w:p>
      <w:pPr>
        <w:jc w:val="center"/>
        <w:rPr>
          <w:rFonts w:ascii="Calibri" w:eastAsia="Calibri" w:hAnsi="Calibri" w:cs="Calibri"/>
          <w:b/>
          <w:sz w:val="36"/>
          <w:szCs w:val="36"/>
          <w:u w:val="single"/>
        </w:rPr>
      </w:pPr>
      <w:r>
        <w:t xml:space="preserve">    </w:t>
      </w:r>
      <w:r>
        <w:rPr>
          <w:rFonts w:ascii="Calibri" w:eastAsia="Calibri" w:hAnsi="Calibri" w:cs="Calibri"/>
          <w:b/>
          <w:sz w:val="36"/>
          <w:szCs w:val="36"/>
          <w:u w:val="single"/>
        </w:rPr>
        <w:t xml:space="preserve">Person Specification and Criteria </w:t>
      </w:r>
    </w:p>
    <w:p>
      <w:pPr>
        <w:jc w:val="center"/>
        <w:rPr>
          <w:u w:val="single"/>
        </w:rPr>
      </w:pPr>
      <w:r>
        <w:rPr>
          <w:rFonts w:ascii="Calibri" w:eastAsia="Calibri" w:hAnsi="Calibri" w:cs="Calibri"/>
          <w:b/>
          <w:sz w:val="36"/>
          <w:szCs w:val="36"/>
          <w:u w:val="single"/>
        </w:rPr>
        <w:t>Class teacher</w:t>
      </w:r>
    </w:p>
    <w:p/>
    <w:p>
      <w:pPr>
        <w:rPr>
          <w:rFonts w:asciiTheme="majorHAnsi" w:eastAsia="Calibri" w:hAnsiTheme="majorHAnsi" w:cstheme="majorHAnsi"/>
          <w:sz w:val="24"/>
          <w:szCs w:val="24"/>
        </w:rPr>
      </w:pPr>
      <w:r>
        <w:rPr>
          <w:rFonts w:asciiTheme="majorHAnsi" w:eastAsia="Calibri" w:hAnsiTheme="majorHAnsi" w:cstheme="majorHAnsi"/>
          <w:sz w:val="24"/>
          <w:szCs w:val="24"/>
        </w:rPr>
        <w:t>Candidates should provide evidence for all the essential criteria required at application</w:t>
      </w:r>
    </w:p>
    <w:p/>
    <w:p>
      <w:pPr>
        <w:spacing w:before="240" w:after="240"/>
      </w:pPr>
      <w:r>
        <w:rPr>
          <w:b/>
        </w:rPr>
        <w:t xml:space="preserve">Keys: </w:t>
      </w:r>
      <w:r>
        <w:t xml:space="preserve">E = essential; </w:t>
      </w:r>
      <w:proofErr w:type="gramStart"/>
      <w:r>
        <w:tab/>
        <w:t xml:space="preserve">  </w:t>
      </w:r>
      <w:r>
        <w:tab/>
      </w:r>
      <w:proofErr w:type="gramEnd"/>
      <w:r>
        <w:t xml:space="preserve">D = desirable;  </w:t>
      </w:r>
      <w:r>
        <w:tab/>
        <w:t xml:space="preserve">EB = evidence base;  </w:t>
      </w:r>
      <w:r>
        <w:tab/>
      </w:r>
    </w:p>
    <w:p>
      <w:pPr>
        <w:spacing w:before="240" w:after="240"/>
        <w:ind w:firstLine="720"/>
      </w:pPr>
      <w:r>
        <w:t xml:space="preserve">A = application    </w:t>
      </w:r>
      <w:r>
        <w:tab/>
        <w:t xml:space="preserve">R = reference      </w:t>
      </w:r>
      <w:r>
        <w:tab/>
        <w:t>I = interview &amp; task</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6630"/>
        <w:gridCol w:w="585"/>
        <w:gridCol w:w="600"/>
        <w:gridCol w:w="735"/>
      </w:tblGrid>
      <w:tr>
        <w:trPr>
          <w:trHeight w:val="420"/>
        </w:trPr>
        <w:tc>
          <w:tcPr>
            <w:tcW w:w="79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c>
          <w:tcPr>
            <w:tcW w:w="6630" w:type="dxa"/>
            <w:tcBorders>
              <w:top w:val="single" w:sz="8" w:space="0" w:color="000000"/>
              <w:left w:val="single" w:sz="8" w:space="0" w:color="000000"/>
              <w:bottom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Education and Qualifications</w:t>
            </w:r>
          </w:p>
        </w:tc>
        <w:tc>
          <w:tcPr>
            <w:tcW w:w="585" w:type="dxa"/>
            <w:shd w:val="clear" w:color="auto" w:fill="CCFFCC"/>
            <w:tcMar>
              <w:top w:w="100" w:type="dxa"/>
              <w:left w:w="100" w:type="dxa"/>
              <w:bottom w:w="100" w:type="dxa"/>
              <w:right w:w="100" w:type="dxa"/>
            </w:tcMar>
          </w:tcPr>
          <w:p>
            <w:pPr>
              <w:widowControl w:val="0"/>
              <w:pBdr>
                <w:top w:val="nil"/>
                <w:left w:val="nil"/>
                <w:bottom w:val="nil"/>
                <w:right w:val="nil"/>
                <w:between w:val="nil"/>
              </w:pBdr>
              <w:spacing w:line="240" w:lineRule="auto"/>
            </w:pPr>
            <w:r>
              <w:t>E</w:t>
            </w:r>
          </w:p>
        </w:tc>
        <w:tc>
          <w:tcPr>
            <w:tcW w:w="600" w:type="dxa"/>
            <w:shd w:val="clear" w:color="auto" w:fill="CCFFCC"/>
            <w:tcMar>
              <w:top w:w="100" w:type="dxa"/>
              <w:left w:w="100" w:type="dxa"/>
              <w:bottom w:w="100" w:type="dxa"/>
              <w:right w:w="100" w:type="dxa"/>
            </w:tcMar>
          </w:tcPr>
          <w:p>
            <w:pPr>
              <w:widowControl w:val="0"/>
              <w:pBdr>
                <w:top w:val="nil"/>
                <w:left w:val="nil"/>
                <w:bottom w:val="nil"/>
                <w:right w:val="nil"/>
                <w:between w:val="nil"/>
              </w:pBdr>
              <w:spacing w:line="240" w:lineRule="auto"/>
            </w:pPr>
            <w:r>
              <w:t>D</w:t>
            </w:r>
          </w:p>
        </w:tc>
        <w:tc>
          <w:tcPr>
            <w:tcW w:w="735" w:type="dxa"/>
            <w:shd w:val="clear" w:color="auto" w:fill="CCFFCC"/>
            <w:tcMar>
              <w:top w:w="100" w:type="dxa"/>
              <w:left w:w="100" w:type="dxa"/>
              <w:bottom w:w="100" w:type="dxa"/>
              <w:right w:w="100" w:type="dxa"/>
            </w:tcMar>
          </w:tcPr>
          <w:p>
            <w:pPr>
              <w:widowControl w:val="0"/>
              <w:pBdr>
                <w:top w:val="nil"/>
                <w:left w:val="nil"/>
                <w:bottom w:val="nil"/>
                <w:right w:val="nil"/>
                <w:between w:val="nil"/>
              </w:pBdr>
              <w:spacing w:line="240" w:lineRule="auto"/>
            </w:pPr>
            <w:r>
              <w:t>EB</w:t>
            </w:r>
          </w:p>
        </w:tc>
      </w:tr>
      <w:tr>
        <w:trPr>
          <w:trHeight w:val="420"/>
        </w:trPr>
        <w:tc>
          <w:tcPr>
            <w:tcW w:w="79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1</w:t>
            </w:r>
          </w:p>
        </w:tc>
        <w:tc>
          <w:tcPr>
            <w:tcW w:w="6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Qualified teacher status for primary phase</w:t>
            </w:r>
          </w:p>
        </w:tc>
        <w:tc>
          <w:tcPr>
            <w:tcW w:w="58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x</w:t>
            </w:r>
          </w:p>
        </w:tc>
        <w:tc>
          <w:tcPr>
            <w:tcW w:w="60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c>
          <w:tcPr>
            <w:tcW w:w="735" w:type="dxa"/>
            <w:vMerge w:val="restart"/>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A</w:t>
            </w:r>
          </w:p>
        </w:tc>
      </w:tr>
      <w:tr>
        <w:trPr>
          <w:trHeight w:val="420"/>
        </w:trPr>
        <w:tc>
          <w:tcPr>
            <w:tcW w:w="79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2</w:t>
            </w:r>
          </w:p>
        </w:tc>
        <w:tc>
          <w:tcPr>
            <w:tcW w:w="6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proofErr w:type="spellStart"/>
            <w:r>
              <w:t>Recognised</w:t>
            </w:r>
            <w:proofErr w:type="spellEnd"/>
            <w:r>
              <w:t xml:space="preserve"> degree or specialism in a core subject</w:t>
            </w:r>
          </w:p>
        </w:tc>
        <w:tc>
          <w:tcPr>
            <w:tcW w:w="58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x</w:t>
            </w:r>
          </w:p>
        </w:tc>
        <w:tc>
          <w:tcPr>
            <w:tcW w:w="60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c>
          <w:tcPr>
            <w:tcW w:w="735" w:type="dxa"/>
            <w:vMerge/>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r>
      <w:tr>
        <w:trPr>
          <w:trHeight w:val="420"/>
        </w:trPr>
        <w:tc>
          <w:tcPr>
            <w:tcW w:w="79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3</w:t>
            </w:r>
          </w:p>
        </w:tc>
        <w:tc>
          <w:tcPr>
            <w:tcW w:w="6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Higher degree in curriculum development or school improvement</w:t>
            </w:r>
          </w:p>
        </w:tc>
        <w:tc>
          <w:tcPr>
            <w:tcW w:w="58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c>
          <w:tcPr>
            <w:tcW w:w="60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x</w:t>
            </w:r>
          </w:p>
        </w:tc>
        <w:tc>
          <w:tcPr>
            <w:tcW w:w="735" w:type="dxa"/>
            <w:vMerge/>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r>
      <w:tr>
        <w:trPr>
          <w:trHeight w:val="495"/>
        </w:trPr>
        <w:tc>
          <w:tcPr>
            <w:tcW w:w="79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4</w:t>
            </w:r>
          </w:p>
        </w:tc>
        <w:tc>
          <w:tcPr>
            <w:tcW w:w="6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Evidence of continuous professional development</w:t>
            </w:r>
          </w:p>
        </w:tc>
        <w:tc>
          <w:tcPr>
            <w:tcW w:w="585"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r>
              <w:t>x</w:t>
            </w:r>
          </w:p>
        </w:tc>
        <w:tc>
          <w:tcPr>
            <w:tcW w:w="600" w:type="dxa"/>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c>
          <w:tcPr>
            <w:tcW w:w="735" w:type="dxa"/>
            <w:vMerge/>
            <w:shd w:val="clear" w:color="auto" w:fill="auto"/>
            <w:tcMar>
              <w:top w:w="100" w:type="dxa"/>
              <w:left w:w="100" w:type="dxa"/>
              <w:bottom w:w="100" w:type="dxa"/>
              <w:right w:w="100" w:type="dxa"/>
            </w:tcMar>
          </w:tcPr>
          <w:p>
            <w:pPr>
              <w:widowControl w:val="0"/>
              <w:pBdr>
                <w:top w:val="nil"/>
                <w:left w:val="nil"/>
                <w:bottom w:val="nil"/>
                <w:right w:val="nil"/>
                <w:between w:val="nil"/>
              </w:pBdr>
              <w:spacing w:line="240" w:lineRule="auto"/>
            </w:pPr>
          </w:p>
        </w:tc>
      </w:tr>
    </w:tbl>
    <w:p>
      <w:pPr>
        <w:spacing w:before="240" w:after="240"/>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6825"/>
        <w:gridCol w:w="570"/>
        <w:gridCol w:w="645"/>
        <w:gridCol w:w="735"/>
      </w:tblGrid>
      <w:tr>
        <w:trPr>
          <w:trHeight w:val="420"/>
        </w:trPr>
        <w:tc>
          <w:tcPr>
            <w:tcW w:w="570" w:type="dxa"/>
            <w:shd w:val="clear" w:color="auto" w:fill="auto"/>
            <w:tcMar>
              <w:top w:w="100" w:type="dxa"/>
              <w:left w:w="100" w:type="dxa"/>
              <w:bottom w:w="100" w:type="dxa"/>
              <w:right w:w="100" w:type="dxa"/>
            </w:tcMar>
          </w:tcPr>
          <w:p>
            <w:pPr>
              <w:widowControl w:val="0"/>
              <w:spacing w:line="240" w:lineRule="auto"/>
            </w:pPr>
          </w:p>
        </w:tc>
        <w:tc>
          <w:tcPr>
            <w:tcW w:w="6825" w:type="dxa"/>
            <w:tcBorders>
              <w:top w:val="single" w:sz="8" w:space="0" w:color="000000"/>
              <w:left w:val="single" w:sz="8" w:space="0" w:color="000000"/>
              <w:bottom w:val="single" w:sz="8" w:space="0" w:color="000000"/>
              <w:right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Knowledge and skills</w:t>
            </w:r>
          </w:p>
        </w:tc>
        <w:tc>
          <w:tcPr>
            <w:tcW w:w="570" w:type="dxa"/>
            <w:tcBorders>
              <w:top w:val="single" w:sz="8" w:space="0" w:color="000000"/>
              <w:left w:val="nil"/>
              <w:bottom w:val="single" w:sz="8" w:space="0" w:color="000000"/>
              <w:right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E</w:t>
            </w:r>
          </w:p>
        </w:tc>
        <w:tc>
          <w:tcPr>
            <w:tcW w:w="645" w:type="dxa"/>
            <w:tcBorders>
              <w:top w:val="single" w:sz="8" w:space="0" w:color="000000"/>
              <w:left w:val="nil"/>
              <w:bottom w:val="single" w:sz="8" w:space="0" w:color="000000"/>
              <w:right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D</w:t>
            </w:r>
          </w:p>
        </w:tc>
        <w:tc>
          <w:tcPr>
            <w:tcW w:w="735" w:type="dxa"/>
            <w:shd w:val="clear" w:color="auto" w:fill="CCFFCC"/>
            <w:tcMar>
              <w:top w:w="100" w:type="dxa"/>
              <w:left w:w="100" w:type="dxa"/>
              <w:bottom w:w="100" w:type="dxa"/>
              <w:right w:w="100" w:type="dxa"/>
            </w:tcMar>
          </w:tcPr>
          <w:p>
            <w:pPr>
              <w:widowControl w:val="0"/>
              <w:spacing w:line="240" w:lineRule="auto"/>
            </w:pPr>
            <w:r>
              <w:t>EB</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1</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A track record of good and outstanding teaching across the primary phase</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vMerge w:val="restart"/>
            <w:shd w:val="clear" w:color="auto" w:fill="auto"/>
            <w:tcMar>
              <w:top w:w="100" w:type="dxa"/>
              <w:left w:w="100" w:type="dxa"/>
              <w:bottom w:w="100" w:type="dxa"/>
              <w:right w:w="100" w:type="dxa"/>
            </w:tcMar>
          </w:tcPr>
          <w:p>
            <w:pPr>
              <w:widowControl w:val="0"/>
              <w:spacing w:line="240" w:lineRule="auto"/>
            </w:pPr>
            <w:r>
              <w:t>A, R &amp; I</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2</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A role model of good teaching and </w:t>
            </w:r>
            <w:proofErr w:type="spellStart"/>
            <w:r>
              <w:t>behaviour</w:t>
            </w:r>
            <w:proofErr w:type="spellEnd"/>
            <w:r>
              <w:t xml:space="preserve"> management within and beyond the classroom</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3</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Evidence of involvement in successful whole school curriculum development</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x</w:t>
            </w: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95"/>
        </w:trPr>
        <w:tc>
          <w:tcPr>
            <w:tcW w:w="570" w:type="dxa"/>
            <w:shd w:val="clear" w:color="auto" w:fill="auto"/>
            <w:tcMar>
              <w:top w:w="100" w:type="dxa"/>
              <w:left w:w="100" w:type="dxa"/>
              <w:bottom w:w="100" w:type="dxa"/>
              <w:right w:w="100" w:type="dxa"/>
            </w:tcMar>
          </w:tcPr>
          <w:p>
            <w:pPr>
              <w:widowControl w:val="0"/>
              <w:spacing w:line="240" w:lineRule="auto"/>
            </w:pPr>
            <w:r>
              <w:t>4</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Good knowledge and understanding of legislation and ongoing developments in education at local and national level</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x</w:t>
            </w: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5</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Experience of using ICT effectively and innovatively to improve the quality of teaching and learning</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6</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Excellent communication skills</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r>
              <w:rPr>
                <w:sz w:val="27"/>
                <w:szCs w:val="27"/>
              </w:rPr>
              <w:t>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lastRenderedPageBreak/>
              <w:t>7</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Proven ability to bring about improvement in the quality of teaching and learning across a curriculum area that results in improved outcomes for pupils</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8</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Up to date knowledge of relevant legislation and guidance in relation to working with, and the protection of, children and young people and demonstrate an understanding of safeguarding issues and the ability to follow procedures</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x </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9</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An excellent understanding of current theory and best practice in teaching and learning</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vMerge/>
            <w:shd w:val="clear" w:color="auto" w:fill="auto"/>
            <w:tcMar>
              <w:top w:w="100" w:type="dxa"/>
              <w:left w:w="100" w:type="dxa"/>
              <w:bottom w:w="100" w:type="dxa"/>
              <w:right w:w="100" w:type="dxa"/>
            </w:tcMar>
          </w:tcPr>
          <w:p>
            <w:pPr>
              <w:widowControl w:val="0"/>
              <w:spacing w:line="240" w:lineRule="auto"/>
            </w:pP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10</w:t>
            </w:r>
          </w:p>
        </w:tc>
        <w:tc>
          <w:tcPr>
            <w:tcW w:w="6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Understand the role of parents and the community in school improvement and how this can be promoted and developed</w:t>
            </w:r>
          </w:p>
        </w:tc>
        <w:tc>
          <w:tcPr>
            <w:tcW w:w="57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r>
              <w:rPr>
                <w:sz w:val="27"/>
                <w:szCs w:val="27"/>
              </w:rPr>
              <w:t>x</w:t>
            </w:r>
          </w:p>
        </w:tc>
        <w:tc>
          <w:tcPr>
            <w:tcW w:w="645"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735" w:type="dxa"/>
            <w:vMerge/>
            <w:shd w:val="clear" w:color="auto" w:fill="auto"/>
            <w:tcMar>
              <w:top w:w="100" w:type="dxa"/>
              <w:left w:w="100" w:type="dxa"/>
              <w:bottom w:w="100" w:type="dxa"/>
              <w:right w:w="100" w:type="dxa"/>
            </w:tcMar>
          </w:tcPr>
          <w:p>
            <w:pPr>
              <w:widowControl w:val="0"/>
              <w:spacing w:line="240" w:lineRule="auto"/>
            </w:pPr>
          </w:p>
        </w:tc>
      </w:tr>
    </w:tbl>
    <w:p>
      <w:pPr>
        <w:spacing w:before="240" w:after="240"/>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6900"/>
        <w:gridCol w:w="600"/>
        <w:gridCol w:w="540"/>
        <w:gridCol w:w="735"/>
      </w:tblGrid>
      <w:tr>
        <w:trPr>
          <w:trHeight w:val="420"/>
        </w:trPr>
        <w:tc>
          <w:tcPr>
            <w:tcW w:w="570" w:type="dxa"/>
            <w:shd w:val="clear" w:color="auto" w:fill="auto"/>
            <w:tcMar>
              <w:top w:w="100" w:type="dxa"/>
              <w:left w:w="100" w:type="dxa"/>
              <w:bottom w:w="100" w:type="dxa"/>
              <w:right w:w="100" w:type="dxa"/>
            </w:tcMar>
          </w:tcPr>
          <w:p>
            <w:pPr>
              <w:widowControl w:val="0"/>
              <w:spacing w:line="240" w:lineRule="auto"/>
            </w:pPr>
          </w:p>
        </w:tc>
        <w:tc>
          <w:tcPr>
            <w:tcW w:w="6900" w:type="dxa"/>
            <w:tcBorders>
              <w:top w:val="single" w:sz="8" w:space="0" w:color="000000"/>
              <w:left w:val="single" w:sz="8" w:space="0" w:color="000000"/>
              <w:bottom w:val="single" w:sz="8" w:space="0" w:color="000000"/>
              <w:right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Personal qualities</w:t>
            </w:r>
          </w:p>
        </w:tc>
        <w:tc>
          <w:tcPr>
            <w:tcW w:w="600" w:type="dxa"/>
            <w:tcBorders>
              <w:top w:val="single" w:sz="8" w:space="0" w:color="000000"/>
              <w:left w:val="nil"/>
              <w:bottom w:val="single" w:sz="8" w:space="0" w:color="000000"/>
              <w:right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E</w:t>
            </w:r>
          </w:p>
        </w:tc>
        <w:tc>
          <w:tcPr>
            <w:tcW w:w="540" w:type="dxa"/>
            <w:tcBorders>
              <w:top w:val="single" w:sz="8" w:space="0" w:color="000000"/>
              <w:left w:val="nil"/>
              <w:bottom w:val="single" w:sz="8" w:space="0" w:color="000000"/>
              <w:right w:val="single" w:sz="8" w:space="0" w:color="000000"/>
            </w:tcBorders>
            <w:shd w:val="clear" w:color="auto" w:fill="CCFFCC"/>
            <w:tcMar>
              <w:top w:w="100" w:type="dxa"/>
              <w:left w:w="100" w:type="dxa"/>
              <w:bottom w:w="100" w:type="dxa"/>
              <w:right w:w="100" w:type="dxa"/>
            </w:tcMar>
          </w:tcPr>
          <w:p>
            <w:pPr>
              <w:widowControl w:val="0"/>
              <w:spacing w:line="240" w:lineRule="auto"/>
              <w:ind w:left="100"/>
              <w:rPr>
                <w:b/>
              </w:rPr>
            </w:pPr>
            <w:r>
              <w:rPr>
                <w:b/>
              </w:rPr>
              <w:t>D</w:t>
            </w:r>
          </w:p>
        </w:tc>
        <w:tc>
          <w:tcPr>
            <w:tcW w:w="735" w:type="dxa"/>
            <w:shd w:val="clear" w:color="auto" w:fill="CCFFCC"/>
            <w:tcMar>
              <w:top w:w="100" w:type="dxa"/>
              <w:left w:w="100" w:type="dxa"/>
              <w:bottom w:w="100" w:type="dxa"/>
              <w:right w:w="100" w:type="dxa"/>
            </w:tcMar>
          </w:tcPr>
          <w:p>
            <w:pPr>
              <w:widowControl w:val="0"/>
              <w:spacing w:line="240" w:lineRule="auto"/>
            </w:pPr>
            <w:r>
              <w:t>EB</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1</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Ability to build and maintain effective relationship with pupils, parents, colleagues and other key stakeholders </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shd w:val="clear" w:color="auto" w:fill="auto"/>
            <w:tcMar>
              <w:top w:w="100" w:type="dxa"/>
              <w:left w:w="100" w:type="dxa"/>
              <w:bottom w:w="100" w:type="dxa"/>
              <w:right w:w="100" w:type="dxa"/>
            </w:tcMar>
          </w:tcPr>
          <w:p>
            <w:pPr>
              <w:widowControl w:val="0"/>
              <w:spacing w:line="240" w:lineRule="auto"/>
            </w:pPr>
            <w:r>
              <w:t>A, R &amp; I</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2</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Ability to work in a team</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shd w:val="clear" w:color="auto" w:fill="auto"/>
            <w:tcMar>
              <w:top w:w="100" w:type="dxa"/>
              <w:left w:w="100" w:type="dxa"/>
              <w:bottom w:w="100" w:type="dxa"/>
              <w:right w:w="100" w:type="dxa"/>
            </w:tcMar>
          </w:tcPr>
          <w:p>
            <w:pPr>
              <w:widowControl w:val="0"/>
              <w:spacing w:line="240" w:lineRule="auto"/>
            </w:pPr>
            <w:r>
              <w:t>A, R &amp; I</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3</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pPr>
            <w:r>
              <w:t xml:space="preserve">Ability to </w:t>
            </w:r>
            <w:proofErr w:type="spellStart"/>
            <w:r>
              <w:t>prioritise</w:t>
            </w:r>
            <w:proofErr w:type="spellEnd"/>
            <w:r>
              <w:t xml:space="preserve">, plan, manage time effectively and </w:t>
            </w:r>
            <w:proofErr w:type="spellStart"/>
            <w:r>
              <w:t>organise</w:t>
            </w:r>
            <w:proofErr w:type="spellEnd"/>
            <w:r>
              <w:t xml:space="preserve"> self and others</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p>
        </w:tc>
        <w:tc>
          <w:tcPr>
            <w:tcW w:w="735" w:type="dxa"/>
            <w:shd w:val="clear" w:color="auto" w:fill="auto"/>
            <w:tcMar>
              <w:top w:w="100" w:type="dxa"/>
              <w:left w:w="100" w:type="dxa"/>
              <w:bottom w:w="100" w:type="dxa"/>
              <w:right w:w="100" w:type="dxa"/>
            </w:tcMar>
          </w:tcPr>
          <w:p>
            <w:pPr>
              <w:widowControl w:val="0"/>
              <w:spacing w:line="240" w:lineRule="auto"/>
            </w:pPr>
            <w:r>
              <w:t>A, R &amp; I</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4</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Ability to use comparative data and information about pupils’ attainment to set targets and raise standards</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 xml:space="preserve"> </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735" w:type="dxa"/>
            <w:shd w:val="clear" w:color="auto" w:fill="auto"/>
            <w:tcMar>
              <w:top w:w="100" w:type="dxa"/>
              <w:left w:w="100" w:type="dxa"/>
              <w:bottom w:w="100" w:type="dxa"/>
              <w:right w:w="100" w:type="dxa"/>
            </w:tcMar>
          </w:tcPr>
          <w:p>
            <w:pPr>
              <w:widowControl w:val="0"/>
              <w:spacing w:line="240" w:lineRule="auto"/>
            </w:pPr>
            <w:r>
              <w:t>A, R &amp; I</w:t>
            </w:r>
          </w:p>
        </w:tc>
      </w:tr>
      <w:tr>
        <w:trPr>
          <w:trHeight w:val="495"/>
        </w:trPr>
        <w:tc>
          <w:tcPr>
            <w:tcW w:w="570" w:type="dxa"/>
            <w:shd w:val="clear" w:color="auto" w:fill="auto"/>
            <w:tcMar>
              <w:top w:w="100" w:type="dxa"/>
              <w:left w:w="100" w:type="dxa"/>
              <w:bottom w:w="100" w:type="dxa"/>
              <w:right w:w="100" w:type="dxa"/>
            </w:tcMar>
          </w:tcPr>
          <w:p>
            <w:pPr>
              <w:widowControl w:val="0"/>
              <w:spacing w:line="240" w:lineRule="auto"/>
            </w:pPr>
            <w:r>
              <w:t>5</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A strong sense of professionalism, commitment to upholding standards and setting an appropriate example</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 xml:space="preserve"> 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p>
        </w:tc>
        <w:tc>
          <w:tcPr>
            <w:tcW w:w="735" w:type="dxa"/>
            <w:shd w:val="clear" w:color="auto" w:fill="auto"/>
            <w:tcMar>
              <w:top w:w="100" w:type="dxa"/>
              <w:left w:w="100" w:type="dxa"/>
              <w:bottom w:w="100" w:type="dxa"/>
              <w:right w:w="100" w:type="dxa"/>
            </w:tcMar>
          </w:tcPr>
          <w:p>
            <w:pPr>
              <w:widowControl w:val="0"/>
              <w:spacing w:line="240" w:lineRule="auto"/>
            </w:pPr>
            <w:r>
              <w:t>A, R &amp; I</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6</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Integrity, loyalty, enthusiasm and dynamism</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 xml:space="preserve"> </w:t>
            </w:r>
          </w:p>
        </w:tc>
        <w:tc>
          <w:tcPr>
            <w:tcW w:w="735" w:type="dxa"/>
            <w:shd w:val="clear" w:color="auto" w:fill="auto"/>
            <w:tcMar>
              <w:top w:w="100" w:type="dxa"/>
              <w:left w:w="100" w:type="dxa"/>
              <w:bottom w:w="100" w:type="dxa"/>
              <w:right w:w="100" w:type="dxa"/>
            </w:tcMar>
          </w:tcPr>
          <w:p>
            <w:pPr>
              <w:widowControl w:val="0"/>
              <w:spacing w:line="240" w:lineRule="auto"/>
            </w:pPr>
            <w:r>
              <w:t>R</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7</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Good understanding of the challenges faced by inner-city schools</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 xml:space="preserve"> </w:t>
            </w:r>
          </w:p>
        </w:tc>
        <w:tc>
          <w:tcPr>
            <w:tcW w:w="735" w:type="dxa"/>
            <w:shd w:val="clear" w:color="auto" w:fill="auto"/>
            <w:tcMar>
              <w:top w:w="100" w:type="dxa"/>
              <w:left w:w="100" w:type="dxa"/>
              <w:bottom w:w="100" w:type="dxa"/>
              <w:right w:w="100" w:type="dxa"/>
            </w:tcMar>
          </w:tcPr>
          <w:p>
            <w:pPr>
              <w:widowControl w:val="0"/>
              <w:spacing w:line="240" w:lineRule="auto"/>
            </w:pPr>
            <w:r>
              <w:t>A, R &amp; I</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8</w:t>
            </w:r>
          </w:p>
        </w:tc>
        <w:tc>
          <w:tcPr>
            <w:tcW w:w="6900" w:type="dxa"/>
            <w:tcBorders>
              <w:top w:val="nil"/>
              <w:left w:val="single" w:sz="8" w:space="0" w:color="000000"/>
              <w:bottom w:val="nil"/>
              <w:right w:val="single" w:sz="8" w:space="0" w:color="000000"/>
            </w:tcBorders>
            <w:tcMar>
              <w:top w:w="100" w:type="dxa"/>
              <w:left w:w="100" w:type="dxa"/>
              <w:bottom w:w="100" w:type="dxa"/>
              <w:right w:w="100" w:type="dxa"/>
            </w:tcMar>
          </w:tcPr>
          <w:p>
            <w:pPr>
              <w:widowControl w:val="0"/>
              <w:spacing w:line="240" w:lineRule="auto"/>
              <w:ind w:left="100"/>
            </w:pPr>
            <w:r>
              <w:t xml:space="preserve">Approachability, accessibility and flexibility, good personal presence and a sense of </w:t>
            </w:r>
            <w:proofErr w:type="spellStart"/>
            <w:r>
              <w:t>humour</w:t>
            </w:r>
            <w:proofErr w:type="spellEnd"/>
          </w:p>
        </w:tc>
        <w:tc>
          <w:tcPr>
            <w:tcW w:w="600" w:type="dxa"/>
            <w:tcBorders>
              <w:top w:val="nil"/>
              <w:left w:val="nil"/>
              <w:bottom w:val="nil"/>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nil"/>
              <w:right w:val="single" w:sz="8" w:space="0" w:color="000000"/>
            </w:tcBorders>
            <w:tcMar>
              <w:top w:w="100" w:type="dxa"/>
              <w:left w:w="100" w:type="dxa"/>
              <w:bottom w:w="100" w:type="dxa"/>
              <w:right w:w="100" w:type="dxa"/>
            </w:tcMar>
          </w:tcPr>
          <w:p>
            <w:pPr>
              <w:widowControl w:val="0"/>
              <w:spacing w:line="240" w:lineRule="auto"/>
              <w:ind w:left="100"/>
            </w:pPr>
            <w:r>
              <w:t xml:space="preserve"> </w:t>
            </w:r>
          </w:p>
        </w:tc>
        <w:tc>
          <w:tcPr>
            <w:tcW w:w="735" w:type="dxa"/>
            <w:shd w:val="clear" w:color="auto" w:fill="auto"/>
            <w:tcMar>
              <w:top w:w="100" w:type="dxa"/>
              <w:left w:w="100" w:type="dxa"/>
              <w:bottom w:w="100" w:type="dxa"/>
              <w:right w:w="100" w:type="dxa"/>
            </w:tcMar>
          </w:tcPr>
          <w:p>
            <w:pPr>
              <w:widowControl w:val="0"/>
              <w:spacing w:line="240" w:lineRule="auto"/>
            </w:pPr>
            <w:r>
              <w:t>R</w:t>
            </w:r>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9</w:t>
            </w:r>
          </w:p>
        </w:tc>
        <w:tc>
          <w:tcPr>
            <w:tcW w:w="6900" w:type="dxa"/>
            <w:tcBorders>
              <w:top w:val="nil"/>
              <w:left w:val="single" w:sz="8" w:space="0" w:color="000000"/>
              <w:bottom w:val="nil"/>
              <w:right w:val="single" w:sz="8" w:space="0" w:color="000000"/>
            </w:tcBorders>
            <w:tcMar>
              <w:top w:w="100" w:type="dxa"/>
              <w:left w:w="100" w:type="dxa"/>
              <w:bottom w:w="100" w:type="dxa"/>
              <w:right w:w="100" w:type="dxa"/>
            </w:tcMar>
          </w:tcPr>
          <w:p>
            <w:pPr>
              <w:widowControl w:val="0"/>
              <w:spacing w:line="240" w:lineRule="auto"/>
              <w:ind w:left="100"/>
            </w:pPr>
            <w:r>
              <w:t>A desire to be part of the school</w:t>
            </w:r>
          </w:p>
        </w:tc>
        <w:tc>
          <w:tcPr>
            <w:tcW w:w="600" w:type="dxa"/>
            <w:tcBorders>
              <w:top w:val="nil"/>
              <w:left w:val="nil"/>
              <w:bottom w:val="nil"/>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nil"/>
              <w:right w:val="single" w:sz="8" w:space="0" w:color="000000"/>
            </w:tcBorders>
            <w:tcMar>
              <w:top w:w="100" w:type="dxa"/>
              <w:left w:w="100" w:type="dxa"/>
              <w:bottom w:w="100" w:type="dxa"/>
              <w:right w:w="100" w:type="dxa"/>
            </w:tcMar>
          </w:tcPr>
          <w:p>
            <w:pPr>
              <w:widowControl w:val="0"/>
              <w:spacing w:line="240" w:lineRule="auto"/>
              <w:ind w:left="100"/>
            </w:pPr>
          </w:p>
        </w:tc>
        <w:tc>
          <w:tcPr>
            <w:tcW w:w="735" w:type="dxa"/>
            <w:shd w:val="clear" w:color="auto" w:fill="auto"/>
            <w:tcMar>
              <w:top w:w="100" w:type="dxa"/>
              <w:left w:w="100" w:type="dxa"/>
              <w:bottom w:w="100" w:type="dxa"/>
              <w:right w:w="100" w:type="dxa"/>
            </w:tcMar>
          </w:tcPr>
          <w:p>
            <w:pPr>
              <w:widowControl w:val="0"/>
              <w:spacing w:line="240" w:lineRule="auto"/>
            </w:pPr>
            <w:proofErr w:type="gramStart"/>
            <w:r>
              <w:t>A,I</w:t>
            </w:r>
            <w:proofErr w:type="gramEnd"/>
          </w:p>
        </w:tc>
      </w:tr>
      <w:tr>
        <w:trPr>
          <w:trHeight w:val="420"/>
        </w:trPr>
        <w:tc>
          <w:tcPr>
            <w:tcW w:w="570" w:type="dxa"/>
            <w:shd w:val="clear" w:color="auto" w:fill="auto"/>
            <w:tcMar>
              <w:top w:w="100" w:type="dxa"/>
              <w:left w:w="100" w:type="dxa"/>
              <w:bottom w:w="100" w:type="dxa"/>
              <w:right w:w="100" w:type="dxa"/>
            </w:tcMar>
          </w:tcPr>
          <w:p>
            <w:pPr>
              <w:widowControl w:val="0"/>
              <w:spacing w:line="240" w:lineRule="auto"/>
            </w:pPr>
            <w:r>
              <w:t>10</w:t>
            </w:r>
          </w:p>
        </w:tc>
        <w:tc>
          <w:tcPr>
            <w:tcW w:w="6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r>
              <w:t>A commitment to support the wellbeing of self and others</w:t>
            </w:r>
          </w:p>
        </w:tc>
        <w:tc>
          <w:tcPr>
            <w:tcW w:w="60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rPr>
                <w:sz w:val="27"/>
                <w:szCs w:val="27"/>
              </w:rPr>
            </w:pPr>
            <w:r>
              <w:rPr>
                <w:sz w:val="27"/>
                <w:szCs w:val="27"/>
              </w:rPr>
              <w:t>x</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pPr>
              <w:widowControl w:val="0"/>
              <w:spacing w:line="240" w:lineRule="auto"/>
              <w:ind w:left="100"/>
            </w:pPr>
          </w:p>
        </w:tc>
        <w:tc>
          <w:tcPr>
            <w:tcW w:w="735" w:type="dxa"/>
            <w:shd w:val="clear" w:color="auto" w:fill="auto"/>
            <w:tcMar>
              <w:top w:w="100" w:type="dxa"/>
              <w:left w:w="100" w:type="dxa"/>
              <w:bottom w:w="100" w:type="dxa"/>
              <w:right w:w="100" w:type="dxa"/>
            </w:tcMar>
          </w:tcPr>
          <w:p>
            <w:pPr>
              <w:widowControl w:val="0"/>
              <w:spacing w:line="240" w:lineRule="auto"/>
            </w:pPr>
            <w:r>
              <w:t>A, I</w:t>
            </w:r>
          </w:p>
        </w:tc>
      </w:tr>
      <w:bookmarkEnd w:id="1"/>
    </w:tbl>
    <w:p>
      <w:pPr>
        <w:rPr>
          <w:rFonts w:asciiTheme="majorHAnsi" w:hAnsiTheme="majorHAnsi" w:cstheme="majorHAnsi"/>
          <w:i/>
        </w:rPr>
      </w:pPr>
    </w:p>
    <w:sectPr>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3340C"/>
    <w:multiLevelType w:val="multilevel"/>
    <w:tmpl w:val="002A9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5199E"/>
    <w:multiLevelType w:val="multilevel"/>
    <w:tmpl w:val="EBC22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A74489"/>
    <w:multiLevelType w:val="multilevel"/>
    <w:tmpl w:val="13562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0326B"/>
    <w:multiLevelType w:val="hybridMultilevel"/>
    <w:tmpl w:val="BF76A38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E257C7"/>
    <w:multiLevelType w:val="multilevel"/>
    <w:tmpl w:val="72CC6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A22647"/>
    <w:multiLevelType w:val="multilevel"/>
    <w:tmpl w:val="6742D536"/>
    <w:lvl w:ilvl="0">
      <w:start w:val="1"/>
      <w:numFmt w:val="bullet"/>
      <w:lvlText w:val="●"/>
      <w:lvlJc w:val="left"/>
      <w:pPr>
        <w:ind w:left="720" w:hanging="360"/>
      </w:pPr>
      <w:rPr>
        <w:rFonts w:ascii="Arial" w:eastAsia="Arial" w:hAnsi="Arial" w:cs="Arial"/>
        <w:color w:val="444444"/>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51805"/>
    <w:multiLevelType w:val="multilevel"/>
    <w:tmpl w:val="53486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B6772B"/>
    <w:multiLevelType w:val="multilevel"/>
    <w:tmpl w:val="D6CCE748"/>
    <w:lvl w:ilvl="0">
      <w:start w:val="1"/>
      <w:numFmt w:val="bullet"/>
      <w:lvlText w:val="●"/>
      <w:lvlJc w:val="left"/>
      <w:pPr>
        <w:ind w:left="720" w:hanging="360"/>
      </w:pPr>
      <w:rPr>
        <w:rFonts w:ascii="Arial" w:eastAsia="Arial" w:hAnsi="Arial" w:cs="Arial"/>
        <w:color w:val="444444"/>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8107548"/>
    <w:multiLevelType w:val="hybridMultilevel"/>
    <w:tmpl w:val="305EF5A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9C661A"/>
    <w:multiLevelType w:val="multilevel"/>
    <w:tmpl w:val="946ED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C297E"/>
    <w:multiLevelType w:val="hybridMultilevel"/>
    <w:tmpl w:val="E354A09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F620B1"/>
    <w:multiLevelType w:val="hybridMultilevel"/>
    <w:tmpl w:val="9EF0CC0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12014B"/>
    <w:multiLevelType w:val="multilevel"/>
    <w:tmpl w:val="9E1C3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712429"/>
    <w:multiLevelType w:val="hybridMultilevel"/>
    <w:tmpl w:val="EDAEE6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CA1EFE"/>
    <w:multiLevelType w:val="multilevel"/>
    <w:tmpl w:val="7E565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6"/>
  </w:num>
  <w:num w:numId="4">
    <w:abstractNumId w:val="12"/>
  </w:num>
  <w:num w:numId="5">
    <w:abstractNumId w:val="7"/>
  </w:num>
  <w:num w:numId="6">
    <w:abstractNumId w:val="2"/>
  </w:num>
  <w:num w:numId="7">
    <w:abstractNumId w:val="9"/>
  </w:num>
  <w:num w:numId="8">
    <w:abstractNumId w:val="22"/>
  </w:num>
  <w:num w:numId="9">
    <w:abstractNumId w:val="0"/>
  </w:num>
  <w:num w:numId="10">
    <w:abstractNumId w:val="18"/>
  </w:num>
  <w:num w:numId="11">
    <w:abstractNumId w:val="16"/>
  </w:num>
  <w:num w:numId="12">
    <w:abstractNumId w:val="20"/>
  </w:num>
  <w:num w:numId="13">
    <w:abstractNumId w:val="11"/>
  </w:num>
  <w:num w:numId="14">
    <w:abstractNumId w:val="14"/>
  </w:num>
  <w:num w:numId="15">
    <w:abstractNumId w:val="5"/>
  </w:num>
  <w:num w:numId="16">
    <w:abstractNumId w:val="8"/>
  </w:num>
  <w:num w:numId="17">
    <w:abstractNumId w:val="15"/>
  </w:num>
  <w:num w:numId="18">
    <w:abstractNumId w:val="1"/>
  </w:num>
  <w:num w:numId="19">
    <w:abstractNumId w:val="21"/>
  </w:num>
  <w:num w:numId="20">
    <w:abstractNumId w:val="13"/>
  </w:num>
  <w:num w:numId="21">
    <w:abstractNumId w:val="19"/>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BDBBF1-4983-4198-890D-9C07B700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99"/>
    <w:qFormat/>
    <w:pPr>
      <w:spacing w:after="160" w:line="256" w:lineRule="auto"/>
      <w:ind w:left="720"/>
      <w:contextualSpacing/>
    </w:pPr>
    <w:rPr>
      <w:rFonts w:ascii="Calibri" w:eastAsia="Calibri" w:hAnsi="Calibri" w:cs="Times New Roman"/>
      <w:lang w:val="en-GB" w:eastAsia="en-US"/>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Text">
    <w:name w:val="Text"/>
    <w:basedOn w:val="BodyText"/>
    <w:link w:val="TextChar"/>
    <w:qFormat/>
    <w:pPr>
      <w:spacing w:line="240" w:lineRule="auto"/>
    </w:pPr>
    <w:rPr>
      <w:rFonts w:eastAsia="MS Mincho"/>
      <w:sz w:val="20"/>
      <w:szCs w:val="20"/>
      <w:lang w:val="en-US" w:eastAsia="en-US"/>
    </w:rPr>
  </w:style>
  <w:style w:type="character" w:customStyle="1" w:styleId="TextChar">
    <w:name w:val="Text Char"/>
    <w:link w:val="Text"/>
    <w:rPr>
      <w:rFonts w:eastAsia="MS Mincho"/>
      <w:sz w:val="20"/>
      <w:szCs w:val="20"/>
      <w:lang w:val="en-US" w:eastAsia="en-US"/>
    </w:rPr>
  </w:style>
  <w:style w:type="paragraph" w:customStyle="1" w:styleId="Heading">
    <w:name w:val="Heading"/>
    <w:basedOn w:val="BodyText"/>
    <w:link w:val="HeadingChar"/>
    <w:autoRedefine/>
    <w:qFormat/>
    <w:pPr>
      <w:spacing w:line="360" w:lineRule="auto"/>
    </w:pPr>
    <w:rPr>
      <w:rFonts w:eastAsia="MS Mincho" w:cs="Times New Roman"/>
      <w:b/>
      <w:sz w:val="24"/>
      <w:szCs w:val="24"/>
      <w:lang w:val="en-US" w:eastAsia="en-US"/>
    </w:rPr>
  </w:style>
  <w:style w:type="character" w:customStyle="1" w:styleId="HeadingChar">
    <w:name w:val="Heading Char"/>
    <w:link w:val="Heading"/>
    <w:rPr>
      <w:rFonts w:eastAsia="MS Mincho" w:cs="Times New Roman"/>
      <w:b/>
      <w:sz w:val="24"/>
      <w:szCs w:val="24"/>
      <w:lang w:val="en-US"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080870">
      <w:bodyDiv w:val="1"/>
      <w:marLeft w:val="0"/>
      <w:marRight w:val="0"/>
      <w:marTop w:val="0"/>
      <w:marBottom w:val="0"/>
      <w:divBdr>
        <w:top w:val="none" w:sz="0" w:space="0" w:color="auto"/>
        <w:left w:val="none" w:sz="0" w:space="0" w:color="auto"/>
        <w:bottom w:val="none" w:sz="0" w:space="0" w:color="auto"/>
        <w:right w:val="none" w:sz="0" w:space="0" w:color="auto"/>
      </w:divBdr>
    </w:div>
    <w:div w:id="191943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HR@gwynjones.waltham.sch.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HR@gwynjones.waltham.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Craner</dc:creator>
  <cp:lastModifiedBy>Sian Boutalbi</cp:lastModifiedBy>
  <cp:revision>2</cp:revision>
  <cp:lastPrinted>2023-02-06T09:24:00Z</cp:lastPrinted>
  <dcterms:created xsi:type="dcterms:W3CDTF">2024-03-22T08:24:00Z</dcterms:created>
  <dcterms:modified xsi:type="dcterms:W3CDTF">2024-03-22T08:24:00Z</dcterms:modified>
</cp:coreProperties>
</file>