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t0623dae9ey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Senior Teacher with responsibility for EYFS – Person Specification </w:t>
      </w:r>
    </w:p>
    <w:tbl>
      <w:tblPr>
        <w:tblStyle w:val="Table1"/>
        <w:tblW w:w="156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85"/>
        <w:gridCol w:w="4530"/>
        <w:gridCol w:w="4695"/>
        <w:gridCol w:w="4605"/>
        <w:tblGridChange w:id="0">
          <w:tblGrid>
            <w:gridCol w:w="1785"/>
            <w:gridCol w:w="4530"/>
            <w:gridCol w:w="4695"/>
            <w:gridCol w:w="46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Evidence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Training &amp; Qualifications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• Degree or equivalent with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Qualified Teacher Status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• Strong understanding of safeguarding, child protection, Prevent and KCSIE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• Substantial expertise in EYFS pedagogy and the EYFS Statutory Framework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• Commitment to ongoing professional development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•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Designated Safeguarding Lead (DSL) training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• Further qualifications in Early Childhood Education, SEND, leadership or safeguarding • Paediatric First Aid 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• Safer Recruitment training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Application Form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Certificates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Supporting Letter</w:t>
            </w:r>
          </w:p>
        </w:tc>
      </w:tr>
      <w:tr>
        <w:trPr>
          <w:cantSplit w:val="0"/>
          <w:trHeight w:val="5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• Proven track record of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high‑quality EYFS teaching</w:t>
            </w:r>
            <w:r w:rsidDel="00000000" w:rsidR="00000000" w:rsidRPr="00000000">
              <w:rPr>
                <w:rtl w:val="0"/>
              </w:rPr>
              <w:t xml:space="preserve"> leading to strong progress • Successful experience of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leading EYFS provision</w:t>
            </w:r>
            <w:r w:rsidDel="00000000" w:rsidR="00000000" w:rsidRPr="00000000">
              <w:rPr>
                <w:rtl w:val="0"/>
              </w:rPr>
              <w:t xml:space="preserve"> (curriculum, assessment, environment) • Demonstrable impact on early reading, communication &amp; language, and early maths • Effective partnership working with parents/carers, including vulnerable families • Clear commitment to safeguarding and promoting welfare of children • Experience contributing to or leading EYFS moderation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• Experience across Key Stages to support transition 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• Experience reporting to governors (EYFS &amp; safeguarding) 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• Experience supporting or leading SEND in EYFS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 • Experience of multi‑agency safeguarding work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Application Form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Supporting Letter 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Interview &amp; Task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References</w:t>
            </w:r>
          </w:p>
        </w:tc>
      </w:tr>
      <w:tr>
        <w:trPr>
          <w:cantSplit w:val="0"/>
          <w:trHeight w:val="69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Knowledge &amp; Understanding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• Deep knowledge of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child development</w:t>
            </w:r>
            <w:r w:rsidDel="00000000" w:rsidR="00000000" w:rsidRPr="00000000">
              <w:rPr>
                <w:rtl w:val="0"/>
              </w:rPr>
              <w:t xml:space="preserve"> and early learning pedagogy 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• Strong understanding of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EYFS assessment</w:t>
            </w:r>
            <w:r w:rsidDel="00000000" w:rsidR="00000000" w:rsidRPr="00000000">
              <w:rPr>
                <w:rtl w:val="0"/>
              </w:rPr>
              <w:t xml:space="preserve">, including observational assessment and EYFS Profile 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• Knowledge of statutory policies including safeguarding, child protection, Prevent, safer working practice 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• Understanding of staff wellbeing, reflective practice and professional growth 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• Knowledge of continuous provision, enhancements and independence frameworks 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• Understanding of inclusive practice, early identification of need and graduated response 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• Ability to analyse EYFS data to identify gaps and raise standards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• Up‑to‑date knowledge of national EYFS priorities, Ofsted expectations and current research 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• Knowledge of Early Help, multi‑agency processes and family support pathways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Supporting Letter 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Interview &amp; Task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References</w:t>
            </w:r>
          </w:p>
        </w:tc>
      </w:tr>
      <w:tr>
        <w:trPr>
          <w:cantSplit w:val="0"/>
          <w:trHeight w:val="50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• Highly effective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behaviour and emotional regulation strategies</w:t>
            </w:r>
            <w:r w:rsidDel="00000000" w:rsidR="00000000" w:rsidRPr="00000000">
              <w:rPr>
                <w:rtl w:val="0"/>
              </w:rPr>
              <w:t xml:space="preserve"> for EYFS 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• Strong interpersonal and organisational skills 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• Clear communication with staff, parents, governors and external agencies 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• Ability to anticipate problems, identify risks and implement solutions 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• Strong time management and ability to meet deadlines 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• Ability to coach and mentor EYFS staff to improve practice 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• Ability to manage safeguarding concerns with clarity and professionalism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• Proven leadership skills, including leading teams and driving improvement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Interview Task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References</w:t>
            </w:r>
          </w:p>
        </w:tc>
      </w:tr>
      <w:tr>
        <w:trPr>
          <w:cantSplit w:val="0"/>
          <w:trHeight w:val="5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Personal Attributes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• Commitment to the ethos and aims of the school 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• Ability to promote the vision of a Church of England school 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• Positivity, resilience and a solutions‑focused approach 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• Commitment to raising achievement, attainment and aspirations 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• Initiative and problem‑solving ability 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• Reflective practitioner who seeks feedback and identifies development needs 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• Calmness under pressure, especially in safeguarding contexts 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• Flexibility, energy and enthusiasm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Supporting letter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Interview 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Interview Task 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References</w:t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1906" w:w="16838" w:orient="landscape"/>
      <w:pgMar w:bottom="566.9291338582677" w:top="566.9291338582677" w:left="737.0078740157481" w:right="379.84251968503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